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30F1E" w14:textId="77777777" w:rsidR="00176FEA" w:rsidRPr="007501BE" w:rsidRDefault="00176FEA" w:rsidP="00632208">
      <w:pPr>
        <w:rPr>
          <w:rFonts w:ascii="Arial" w:hAnsi="Arial" w:cs="Arial"/>
          <w:b/>
          <w:noProof/>
          <w:color w:val="000000" w:themeColor="text1"/>
          <w:sz w:val="48"/>
          <w:szCs w:val="30"/>
          <w:shd w:val="clear" w:color="auto" w:fill="FFFFFF"/>
        </w:rPr>
      </w:pPr>
    </w:p>
    <w:p w14:paraId="0789F164" w14:textId="436EC44A" w:rsidR="00632208" w:rsidRPr="006A16D2" w:rsidRDefault="00632208" w:rsidP="00632208">
      <w:pPr>
        <w:jc w:val="center"/>
        <w:rPr>
          <w:rFonts w:ascii="Arial" w:hAnsi="Arial" w:cs="Arial"/>
          <w:b/>
          <w:noProof/>
          <w:sz w:val="48"/>
          <w:szCs w:val="48"/>
          <w:shd w:val="clear" w:color="auto" w:fill="FFFFFF"/>
        </w:rPr>
      </w:pPr>
      <w:r w:rsidRPr="006A16D2">
        <w:rPr>
          <w:rFonts w:ascii="Arial" w:hAnsi="Arial" w:cs="Arial"/>
          <w:b/>
          <w:noProof/>
          <w:sz w:val="48"/>
          <w:szCs w:val="48"/>
          <w:shd w:val="clear" w:color="auto" w:fill="FFFFFF"/>
        </w:rPr>
        <w:t>MATERIAŁY UŻYTKOWNIKA</w:t>
      </w:r>
    </w:p>
    <w:p w14:paraId="70196B25" w14:textId="77777777" w:rsidR="00176FEA" w:rsidRPr="007501BE" w:rsidRDefault="00176FEA" w:rsidP="00176FEA">
      <w:pPr>
        <w:jc w:val="center"/>
        <w:rPr>
          <w:rStyle w:val="Hipercze"/>
          <w:noProof/>
        </w:rPr>
      </w:pPr>
    </w:p>
    <w:p w14:paraId="331CC6AD" w14:textId="77777777" w:rsidR="00176FEA" w:rsidRPr="007501BE" w:rsidRDefault="00176FEA" w:rsidP="00176FEA">
      <w:pPr>
        <w:jc w:val="both"/>
        <w:rPr>
          <w:rFonts w:ascii="Arial" w:hAnsi="Arial" w:cs="Arial"/>
          <w:b/>
          <w:noProof/>
          <w:color w:val="000000" w:themeColor="text1"/>
          <w:sz w:val="48"/>
          <w:szCs w:val="30"/>
          <w:shd w:val="clear" w:color="auto" w:fill="FFFFFF"/>
        </w:rPr>
      </w:pPr>
    </w:p>
    <w:p w14:paraId="1E213117" w14:textId="77777777" w:rsidR="00632208" w:rsidRPr="007501BE" w:rsidRDefault="00632208" w:rsidP="00632208">
      <w:pPr>
        <w:jc w:val="center"/>
        <w:rPr>
          <w:rFonts w:ascii="Arial" w:hAnsi="Arial" w:cs="Arial"/>
          <w:b/>
          <w:noProof/>
          <w:color w:val="C00000"/>
          <w:sz w:val="56"/>
          <w:szCs w:val="56"/>
          <w:shd w:val="clear" w:color="auto" w:fill="FFFFFF"/>
        </w:rPr>
      </w:pPr>
      <w:r w:rsidRPr="006A16D2">
        <w:rPr>
          <w:rFonts w:ascii="Arial" w:hAnsi="Arial" w:cs="Arial"/>
          <w:b/>
          <w:noProof/>
          <w:color w:val="C00000"/>
          <w:sz w:val="48"/>
          <w:szCs w:val="48"/>
          <w:shd w:val="clear" w:color="auto" w:fill="FFFFFF"/>
        </w:rPr>
        <w:t>AKADEMIA</w:t>
      </w:r>
      <w:r w:rsidRPr="007501BE">
        <w:rPr>
          <w:rFonts w:ascii="Arial" w:hAnsi="Arial" w:cs="Arial"/>
          <w:b/>
          <w:noProof/>
          <w:color w:val="C00000"/>
          <w:sz w:val="56"/>
          <w:szCs w:val="56"/>
          <w:shd w:val="clear" w:color="auto" w:fill="FFFFFF"/>
        </w:rPr>
        <w:t xml:space="preserve"> BIZNESU</w:t>
      </w:r>
    </w:p>
    <w:p w14:paraId="5972A498" w14:textId="77777777" w:rsidR="00632208" w:rsidRPr="007501BE" w:rsidRDefault="00632208" w:rsidP="00176FEA">
      <w:pPr>
        <w:jc w:val="both"/>
        <w:rPr>
          <w:rFonts w:ascii="Arial" w:hAnsi="Arial" w:cs="Arial"/>
          <w:b/>
          <w:noProof/>
          <w:color w:val="000000" w:themeColor="text1"/>
          <w:sz w:val="48"/>
          <w:szCs w:val="30"/>
          <w:shd w:val="clear" w:color="auto" w:fill="FFFFFF"/>
        </w:rPr>
      </w:pPr>
    </w:p>
    <w:p w14:paraId="71FEB762" w14:textId="4460884F" w:rsidR="00176FEA" w:rsidRPr="007501BE" w:rsidRDefault="00632208" w:rsidP="00C247E7">
      <w:pPr>
        <w:jc w:val="center"/>
        <w:rPr>
          <w:rFonts w:ascii="Arial" w:hAnsi="Arial" w:cs="Arial"/>
          <w:b/>
          <w:noProof/>
          <w:color w:val="000000" w:themeColor="text1"/>
          <w:sz w:val="40"/>
          <w:szCs w:val="40"/>
          <w:shd w:val="clear" w:color="auto" w:fill="FFFFFF"/>
        </w:rPr>
      </w:pPr>
      <w:r w:rsidRPr="007501BE">
        <w:rPr>
          <w:rFonts w:ascii="Arial" w:hAnsi="Arial" w:cs="Arial"/>
          <w:b/>
          <w:noProof/>
          <w:color w:val="000000" w:themeColor="text1"/>
          <w:sz w:val="40"/>
          <w:szCs w:val="40"/>
          <w:shd w:val="clear" w:color="auto" w:fill="FFFFFF"/>
        </w:rPr>
        <w:t>Aspekty formalno-prawne wejścia na rynki zagraniczne</w:t>
      </w:r>
    </w:p>
    <w:p w14:paraId="4111CE22" w14:textId="383C4467" w:rsidR="00AF0A5E" w:rsidRPr="007501BE" w:rsidRDefault="00AF0A5E">
      <w:pPr>
        <w:pStyle w:val="TreA"/>
        <w:rPr>
          <w:rFonts w:hint="eastAsia"/>
          <w:noProof/>
        </w:rPr>
      </w:pPr>
    </w:p>
    <w:p w14:paraId="263B3E7C" w14:textId="76136D40" w:rsidR="00176FEA" w:rsidRPr="007501BE" w:rsidRDefault="00176FEA">
      <w:pPr>
        <w:pStyle w:val="TreA"/>
        <w:rPr>
          <w:rFonts w:hint="eastAsia"/>
          <w:noProof/>
        </w:rPr>
      </w:pPr>
    </w:p>
    <w:p w14:paraId="1F496767" w14:textId="182D7CCB" w:rsidR="00176FEA" w:rsidRPr="007501BE" w:rsidRDefault="00176FEA">
      <w:pPr>
        <w:pStyle w:val="TreA"/>
        <w:rPr>
          <w:rFonts w:hint="eastAsia"/>
          <w:noProof/>
        </w:rPr>
      </w:pPr>
    </w:p>
    <w:p w14:paraId="3F7EB511" w14:textId="15A58D19" w:rsidR="00176FEA" w:rsidRPr="007501BE" w:rsidRDefault="00632208">
      <w:pPr>
        <w:pStyle w:val="TreA"/>
        <w:rPr>
          <w:rFonts w:hint="eastAsia"/>
          <w:noProof/>
        </w:rPr>
      </w:pPr>
      <w:r w:rsidRPr="007501BE">
        <w:rPr>
          <w:noProof/>
        </w:rPr>
        <w:drawing>
          <wp:anchor distT="0" distB="0" distL="114300" distR="114300" simplePos="0" relativeHeight="251659264" behindDoc="1" locked="0" layoutInCell="1" allowOverlap="1" wp14:anchorId="151A0F50" wp14:editId="1912307C">
            <wp:simplePos x="0" y="0"/>
            <wp:positionH relativeFrom="column">
              <wp:posOffset>3117215</wp:posOffset>
            </wp:positionH>
            <wp:positionV relativeFrom="page">
              <wp:posOffset>4588964</wp:posOffset>
            </wp:positionV>
            <wp:extent cx="2590800" cy="620395"/>
            <wp:effectExtent l="0" t="0" r="0" b="8255"/>
            <wp:wrapTight wrapText="bothSides">
              <wp:wrapPolygon edited="0">
                <wp:start x="5718" y="0"/>
                <wp:lineTo x="0" y="0"/>
                <wp:lineTo x="0" y="17245"/>
                <wp:lineTo x="6988" y="21224"/>
                <wp:lineTo x="21441" y="21224"/>
                <wp:lineTo x="21441" y="2653"/>
                <wp:lineTo x="13818" y="0"/>
                <wp:lineTo x="5718" y="0"/>
              </wp:wrapPolygon>
            </wp:wrapTight>
            <wp:docPr id="2054730154" name="Obraz 3" descr="Obraz zawierający Czcionka, Grafika, typografi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730154" name="Obraz 3" descr="Obraz zawierający Czcionka, Grafika, typografi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87E5E8" w14:textId="0972D6C2" w:rsidR="00176FEA" w:rsidRPr="007501BE" w:rsidRDefault="00176FEA">
      <w:pPr>
        <w:pStyle w:val="TreA"/>
        <w:rPr>
          <w:rFonts w:hint="eastAsia"/>
          <w:noProof/>
        </w:rPr>
      </w:pPr>
    </w:p>
    <w:p w14:paraId="095FE5F2" w14:textId="3F0521F3" w:rsidR="00176FEA" w:rsidRPr="007501BE" w:rsidRDefault="00176FEA">
      <w:pPr>
        <w:pStyle w:val="TreA"/>
        <w:rPr>
          <w:rFonts w:hint="eastAsia"/>
          <w:noProof/>
        </w:rPr>
      </w:pPr>
    </w:p>
    <w:p w14:paraId="42F42CA0" w14:textId="2C60C0E8" w:rsidR="00176FEA" w:rsidRPr="007501BE" w:rsidRDefault="00176FEA">
      <w:pPr>
        <w:pStyle w:val="TreA"/>
        <w:rPr>
          <w:rFonts w:hint="eastAsia"/>
          <w:noProof/>
        </w:rPr>
      </w:pPr>
    </w:p>
    <w:p w14:paraId="16D54266" w14:textId="0E610CCA" w:rsidR="00176FEA" w:rsidRPr="007501BE" w:rsidRDefault="00176FEA">
      <w:pPr>
        <w:pStyle w:val="TreA"/>
        <w:rPr>
          <w:rFonts w:hint="eastAsia"/>
          <w:noProof/>
        </w:rPr>
      </w:pPr>
    </w:p>
    <w:p w14:paraId="3C344AAB" w14:textId="3D215F2F" w:rsidR="00176FEA" w:rsidRPr="007501BE" w:rsidRDefault="00176FEA">
      <w:pPr>
        <w:pStyle w:val="TreA"/>
        <w:rPr>
          <w:rFonts w:hint="eastAsia"/>
          <w:noProof/>
        </w:rPr>
      </w:pPr>
    </w:p>
    <w:p w14:paraId="735717D0" w14:textId="77777777" w:rsidR="00ED3CF3" w:rsidRPr="007501BE" w:rsidRDefault="00ED3CF3">
      <w:pPr>
        <w:pStyle w:val="TreA"/>
        <w:rPr>
          <w:rFonts w:hint="eastAsia"/>
          <w:noProof/>
        </w:rPr>
      </w:pPr>
    </w:p>
    <w:p w14:paraId="4E765F25" w14:textId="77777777" w:rsidR="00ED3CF3" w:rsidRPr="007501BE" w:rsidRDefault="00ED3CF3">
      <w:pPr>
        <w:pStyle w:val="TreA"/>
        <w:rPr>
          <w:rFonts w:hint="eastAsia"/>
          <w:noProof/>
        </w:rPr>
      </w:pPr>
    </w:p>
    <w:p w14:paraId="444D587A" w14:textId="2422AE5A" w:rsidR="00176FEA" w:rsidRPr="007501BE" w:rsidRDefault="00BF1EFF" w:rsidP="003740BA">
      <w:pPr>
        <w:pStyle w:val="TreA"/>
        <w:jc w:val="both"/>
        <w:rPr>
          <w:rFonts w:hint="eastAsia"/>
          <w:noProof/>
        </w:rPr>
      </w:pPr>
      <w:r w:rsidRPr="007501BE">
        <w:rPr>
          <w:rFonts w:ascii="Arial" w:eastAsia="Times New Roman" w:hAnsi="Arial" w:cs="Arial"/>
          <w:noProof/>
          <w:lang w:eastAsia="pl-PL"/>
        </w:rPr>
        <w:t xml:space="preserve">Projekt </w:t>
      </w:r>
      <w:r w:rsidR="0064366F" w:rsidRPr="007501BE">
        <w:rPr>
          <w:rFonts w:ascii="Arial" w:eastAsia="Times New Roman" w:hAnsi="Arial" w:cs="Arial"/>
          <w:noProof/>
          <w:lang w:eastAsia="pl-PL"/>
        </w:rPr>
        <w:t>„</w:t>
      </w:r>
      <w:r w:rsidR="00BA7C77" w:rsidRPr="007501BE">
        <w:rPr>
          <w:rFonts w:ascii="Arial" w:eastAsia="Times New Roman" w:hAnsi="Arial" w:cs="Arial"/>
          <w:noProof/>
          <w:lang w:eastAsia="pl-PL"/>
        </w:rPr>
        <w:t>Mój biznes za granicą - model wsparcia instytucjonalnego MŚP w obszarze umiędzynarodowienia oferty firm i rozpoczęcia działalności na rynkach międzynarodowych”, współfinansowany ze środków Europejskiego Funduszu Społecznego w ramach Programu Operacyjnego Wiedza Edukacja Rozwój 2014-2020, IV Oś Priorytetowa Innowacje społeczne i współpraca ponadnarodowa, Działanie 4.3 Współpraca ponadnarodowa.</w:t>
      </w:r>
    </w:p>
    <w:p w14:paraId="793FB01F" w14:textId="1B548967" w:rsidR="00176FEA" w:rsidRPr="007501BE" w:rsidRDefault="00176FEA">
      <w:pPr>
        <w:pStyle w:val="TreA"/>
        <w:rPr>
          <w:rFonts w:hint="eastAsia"/>
          <w:noProof/>
        </w:rPr>
      </w:pPr>
    </w:p>
    <w:p w14:paraId="1527FCE0" w14:textId="3A1CE9A7" w:rsidR="00176FEA" w:rsidRPr="007501BE" w:rsidRDefault="00176FEA">
      <w:pPr>
        <w:pStyle w:val="TreA"/>
        <w:rPr>
          <w:rFonts w:hint="eastAsia"/>
          <w:noProof/>
        </w:rPr>
      </w:pPr>
    </w:p>
    <w:p w14:paraId="5CD7B13A" w14:textId="77777777" w:rsidR="00C247E7" w:rsidRPr="007501BE" w:rsidRDefault="00C247E7">
      <w:pPr>
        <w:pStyle w:val="TreA"/>
        <w:rPr>
          <w:rFonts w:ascii="Arial" w:eastAsia="Times New Roman" w:hAnsi="Arial" w:cs="Arial"/>
          <w:noProof/>
          <w:color w:val="000000" w:themeColor="text1"/>
          <w:sz w:val="24"/>
          <w:szCs w:val="24"/>
          <w:shd w:val="clear" w:color="auto" w:fill="FFFFFF"/>
        </w:rPr>
      </w:pPr>
    </w:p>
    <w:p w14:paraId="023C8210" w14:textId="4038C483" w:rsidR="00176FEA" w:rsidRPr="007501BE" w:rsidRDefault="006A1767" w:rsidP="003740BA">
      <w:pPr>
        <w:pStyle w:val="TreA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shd w:val="clear" w:color="auto" w:fill="FFFFFF"/>
        </w:rPr>
      </w:pPr>
      <w:r w:rsidRPr="007501BE">
        <w:rPr>
          <w:rFonts w:ascii="Arial" w:eastAsia="Times New Roman" w:hAnsi="Arial" w:cs="Arial"/>
          <w:noProof/>
          <w:color w:val="000000" w:themeColor="text1"/>
          <w:sz w:val="24"/>
          <w:szCs w:val="24"/>
          <w:shd w:val="clear" w:color="auto" w:fill="FFFFFF"/>
        </w:rPr>
        <w:t>Formalno-prawne aspekty sprzedaży eksportowej oraz dostaw wewnątrzwspólnotowych to temat niezwykle złożony, a materiału wystarczyłoby na napisanie pokaźnego tomu. Ze względu na ograniczone ramy czasowe, skupiono się jednak na rzeczach najważniejszych, bardziej wskazując pewne istotne z punktu widzenia przedsiębiorców obszary niż je wyczerpująco opisując. Poniższe linki oraz zawarte w nich informacje trzeba zatem potraktować jako obszary do dalszej eksploracji.</w:t>
      </w:r>
    </w:p>
    <w:p w14:paraId="039254EB" w14:textId="175C9DE7" w:rsidR="006A1767" w:rsidRPr="007501BE" w:rsidRDefault="006A1767" w:rsidP="003740BA">
      <w:pPr>
        <w:jc w:val="both"/>
        <w:rPr>
          <w:rFonts w:ascii="Arial" w:hAnsi="Arial" w:cs="Arial"/>
          <w:noProof/>
          <w:color w:val="000000" w:themeColor="text1"/>
          <w:shd w:val="clear" w:color="auto" w:fill="FFFFFF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</w:rPr>
        <w:t>Przygotowując się do podjęcia współpracy z podmiotami zagranicznymi już na etapie przygotowania kontraktu warto zwrócić uwagę między innymi na następujące aspekty:</w:t>
      </w:r>
    </w:p>
    <w:p w14:paraId="682CA670" w14:textId="77777777" w:rsidR="00E7380D" w:rsidRPr="007501BE" w:rsidRDefault="00E7380D" w:rsidP="00E7380D">
      <w:pPr>
        <w:pStyle w:val="TreA"/>
        <w:ind w:left="360"/>
        <w:rPr>
          <w:rFonts w:hint="eastAsia"/>
          <w:noProof/>
        </w:rPr>
      </w:pPr>
    </w:p>
    <w:p w14:paraId="1B4152FB" w14:textId="38D4034C" w:rsidR="00176FEA" w:rsidRPr="007501BE" w:rsidRDefault="00E7380D" w:rsidP="00E7380D">
      <w:pPr>
        <w:pStyle w:val="TreA"/>
        <w:numPr>
          <w:ilvl w:val="0"/>
          <w:numId w:val="28"/>
        </w:numPr>
        <w:jc w:val="both"/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shd w:val="clear" w:color="auto" w:fill="FFFFFF"/>
        </w:rPr>
      </w:pPr>
      <w:r w:rsidRPr="007501BE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shd w:val="clear" w:color="auto" w:fill="FFFFFF"/>
        </w:rPr>
        <w:t>Siła wyższa w umowach o współpracy</w:t>
      </w:r>
    </w:p>
    <w:p w14:paraId="41406127" w14:textId="5DDBFD18" w:rsidR="00176FEA" w:rsidRPr="007501BE" w:rsidRDefault="00176FEA">
      <w:pPr>
        <w:pStyle w:val="TreA"/>
        <w:rPr>
          <w:rFonts w:hint="eastAsia"/>
          <w:noProof/>
          <w:color w:val="auto"/>
        </w:rPr>
      </w:pPr>
    </w:p>
    <w:p w14:paraId="7AA98A93" w14:textId="77777777" w:rsidR="00E7380D" w:rsidRPr="007501BE" w:rsidRDefault="008941C8" w:rsidP="004D2950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Arial" w:hAnsi="Arial" w:cs="Arial"/>
          <w:noProof/>
          <w:color w:val="0070C0"/>
          <w:u w:val="single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Zasada swobody umów- artykuł 353 Kodeksu cywilnego</w:t>
      </w:r>
      <w:r w:rsidR="00E7380D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:</w:t>
      </w:r>
    </w:p>
    <w:p w14:paraId="5B895915" w14:textId="3841D46A" w:rsidR="00176FEA" w:rsidRPr="007501BE" w:rsidRDefault="00562B11" w:rsidP="004D2950">
      <w:pPr>
        <w:spacing w:line="276" w:lineRule="auto"/>
        <w:ind w:left="851"/>
        <w:jc w:val="both"/>
        <w:rPr>
          <w:rStyle w:val="Hipercze"/>
          <w:rFonts w:ascii="Arial" w:hAnsi="Arial" w:cs="Arial"/>
          <w:noProof/>
        </w:rPr>
      </w:pPr>
      <w:hyperlink r:id="rId8" w:history="1">
        <w:r w:rsidR="00E7380D" w:rsidRPr="007501BE">
          <w:rPr>
            <w:rStyle w:val="Hipercze"/>
            <w:rFonts w:ascii="Arial" w:hAnsi="Arial" w:cs="Arial"/>
            <w:noProof/>
          </w:rPr>
          <w:t>https://sip.lex.pl/akty-prawne/dzu-dziennik-ustaw/kodeks-cywilny-16785996/art-353-1</w:t>
        </w:r>
      </w:hyperlink>
    </w:p>
    <w:p w14:paraId="0D28009B" w14:textId="74FFCDD3" w:rsidR="00176FEA" w:rsidRPr="007501BE" w:rsidRDefault="008561AB" w:rsidP="004D2950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Międzynarodowe Centrum Arbitraż</w:t>
      </w:r>
      <w:r w:rsidR="00E7380D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u</w:t>
      </w: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w Wiedniu:</w:t>
      </w:r>
    </w:p>
    <w:p w14:paraId="6FE0D4A9" w14:textId="52ABF9EC" w:rsidR="00176FEA" w:rsidRPr="007501BE" w:rsidRDefault="00562B11" w:rsidP="004D2950">
      <w:pPr>
        <w:spacing w:line="276" w:lineRule="auto"/>
        <w:ind w:left="851"/>
        <w:jc w:val="both"/>
        <w:rPr>
          <w:rFonts w:ascii="Arial" w:hAnsi="Arial" w:cs="Arial"/>
          <w:noProof/>
          <w:color w:val="000000"/>
          <w:shd w:val="clear" w:color="auto" w:fill="FFFFFF"/>
        </w:rPr>
      </w:pPr>
      <w:hyperlink r:id="rId9" w:history="1">
        <w:r w:rsidR="00176FEA" w:rsidRPr="007501BE">
          <w:rPr>
            <w:rStyle w:val="Hipercze"/>
            <w:rFonts w:ascii="Arial" w:hAnsi="Arial" w:cs="Arial"/>
            <w:noProof/>
            <w:shd w:val="clear" w:color="auto" w:fill="FFFFFF"/>
          </w:rPr>
          <w:t>www.viac.eu/en/about-us</w:t>
        </w:r>
      </w:hyperlink>
    </w:p>
    <w:p w14:paraId="217B0AEF" w14:textId="7BE62DF4" w:rsidR="00176FEA" w:rsidRPr="007501BE" w:rsidRDefault="008561AB" w:rsidP="004D2950">
      <w:pPr>
        <w:pStyle w:val="Akapitzlist"/>
        <w:numPr>
          <w:ilvl w:val="0"/>
          <w:numId w:val="30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Odpowiedzialność ex contractu</w:t>
      </w:r>
      <w:r w:rsidR="00E7380D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-</w:t>
      </w: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artykuł 471 Kodeksu cywilnego: </w:t>
      </w:r>
    </w:p>
    <w:p w14:paraId="4BE5A6FA" w14:textId="32E634FD" w:rsidR="00176FEA" w:rsidRPr="007501BE" w:rsidRDefault="00562B11" w:rsidP="004D2950">
      <w:pPr>
        <w:pStyle w:val="TreA"/>
        <w:spacing w:line="276" w:lineRule="auto"/>
        <w:ind w:left="851"/>
        <w:rPr>
          <w:rStyle w:val="Hipercze"/>
          <w:rFonts w:ascii="Arial" w:eastAsia="Times New Roman" w:hAnsi="Arial" w:cs="Arial"/>
          <w:noProof/>
          <w:sz w:val="24"/>
          <w:szCs w:val="24"/>
        </w:rPr>
      </w:pPr>
      <w:hyperlink r:id="rId10" w:history="1">
        <w:r w:rsidR="00176FEA" w:rsidRPr="007501BE">
          <w:rPr>
            <w:rStyle w:val="Hipercze"/>
            <w:rFonts w:ascii="Arial" w:eastAsia="Times New Roman" w:hAnsi="Arial" w:cs="Arial"/>
            <w:noProof/>
            <w:sz w:val="24"/>
            <w:szCs w:val="24"/>
          </w:rPr>
          <w:t>https://sip.lex.pl/akty-prawne/dzu-dziennik-ustaw/kodeks-cywilny-16785996/art-471</w:t>
        </w:r>
      </w:hyperlink>
    </w:p>
    <w:p w14:paraId="1FA6819C" w14:textId="11C8BDA6" w:rsidR="00176FEA" w:rsidRPr="007501BE" w:rsidRDefault="00E7380D" w:rsidP="004D2950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Doctrine of frustration: </w:t>
      </w:r>
    </w:p>
    <w:p w14:paraId="751D95F3" w14:textId="0493681E" w:rsidR="00176FEA" w:rsidRPr="007501BE" w:rsidRDefault="00562B11" w:rsidP="004D2950">
      <w:pPr>
        <w:spacing w:line="276" w:lineRule="auto"/>
        <w:ind w:left="851"/>
        <w:jc w:val="both"/>
        <w:rPr>
          <w:rFonts w:ascii="Arial" w:hAnsi="Arial" w:cs="Arial"/>
          <w:noProof/>
        </w:rPr>
      </w:pPr>
      <w:hyperlink r:id="rId11" w:history="1">
        <w:r w:rsidR="00274193" w:rsidRPr="007501BE">
          <w:rPr>
            <w:rStyle w:val="Hipercze"/>
            <w:rFonts w:ascii="Arial" w:hAnsi="Arial" w:cs="Arial"/>
            <w:noProof/>
          </w:rPr>
          <w:t>https://www.lexisnexis.com.au/__data/assets/pdf_file/0017/322127/Contract-Doctrine-of-Frustration-and-Force-Majeu_Pippa-Maessen.pdf</w:t>
        </w:r>
      </w:hyperlink>
      <w:r w:rsidR="00176FEA" w:rsidRPr="007501BE">
        <w:rPr>
          <w:rFonts w:ascii="Arial" w:hAnsi="Arial" w:cs="Arial"/>
          <w:noProof/>
        </w:rPr>
        <w:t>.</w:t>
      </w:r>
      <w:r w:rsidR="00274193" w:rsidRPr="007501BE">
        <w:rPr>
          <w:rFonts w:ascii="Arial" w:hAnsi="Arial" w:cs="Arial"/>
          <w:noProof/>
        </w:rPr>
        <w:t xml:space="preserve"> </w:t>
      </w:r>
    </w:p>
    <w:p w14:paraId="48F574D3" w14:textId="59492087" w:rsidR="00176FEA" w:rsidRPr="007501BE" w:rsidRDefault="004D2950" w:rsidP="004D2950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Destruction of subject matter:</w:t>
      </w:r>
    </w:p>
    <w:p w14:paraId="0B8FAA5B" w14:textId="0513B280" w:rsidR="00176FEA" w:rsidRPr="007501BE" w:rsidRDefault="00562B11" w:rsidP="004D2950">
      <w:pPr>
        <w:ind w:left="851"/>
        <w:jc w:val="both"/>
        <w:rPr>
          <w:rFonts w:ascii="Arial" w:hAnsi="Arial" w:cs="Arial"/>
          <w:noProof/>
        </w:rPr>
      </w:pPr>
      <w:hyperlink r:id="rId12" w:history="1">
        <w:r w:rsidR="004D2950" w:rsidRPr="007501BE">
          <w:rPr>
            <w:rStyle w:val="Hipercze"/>
            <w:rFonts w:ascii="Arial" w:hAnsi="Arial" w:cs="Arial"/>
            <w:noProof/>
          </w:rPr>
          <w:t>https://www.lawinsider.com/clause/destruction-of-subject-matter</w:t>
        </w:r>
      </w:hyperlink>
    </w:p>
    <w:p w14:paraId="5903F793" w14:textId="55E77744" w:rsidR="00176FEA" w:rsidRPr="007501BE" w:rsidRDefault="004D2950" w:rsidP="004D2950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Supervening illegality:</w:t>
      </w:r>
    </w:p>
    <w:p w14:paraId="083DAF94" w14:textId="6C7FF08B" w:rsidR="00176FEA" w:rsidRPr="007501BE" w:rsidRDefault="00562B11" w:rsidP="004D2950">
      <w:pPr>
        <w:ind w:left="851"/>
        <w:jc w:val="both"/>
        <w:rPr>
          <w:rFonts w:ascii="Arial" w:hAnsi="Arial" w:cs="Arial"/>
          <w:noProof/>
        </w:rPr>
      </w:pPr>
      <w:hyperlink r:id="rId13" w:history="1">
        <w:r w:rsidR="004D2950" w:rsidRPr="007501BE">
          <w:rPr>
            <w:rStyle w:val="Hipercze"/>
            <w:rFonts w:ascii="Arial" w:hAnsi="Arial" w:cs="Arial"/>
            <w:noProof/>
          </w:rPr>
          <w:t>https://www.lawinsider.com/clause/supervening-illegality</w:t>
        </w:r>
      </w:hyperlink>
    </w:p>
    <w:p w14:paraId="35C6B758" w14:textId="7BEFDE89" w:rsidR="00176FEA" w:rsidRPr="007501BE" w:rsidRDefault="004D2950" w:rsidP="004D2950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Incapacity or death</w:t>
      </w:r>
      <w:r w:rsidR="00176FEA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:</w:t>
      </w:r>
    </w:p>
    <w:p w14:paraId="23748D20" w14:textId="3BA38397" w:rsidR="00176FEA" w:rsidRPr="007501BE" w:rsidRDefault="00562B11" w:rsidP="004D2950">
      <w:pPr>
        <w:ind w:left="851"/>
        <w:jc w:val="both"/>
        <w:rPr>
          <w:rFonts w:ascii="Arial" w:hAnsi="Arial" w:cs="Arial"/>
          <w:noProof/>
        </w:rPr>
      </w:pPr>
      <w:hyperlink r:id="rId14" w:history="1">
        <w:r w:rsidR="004D2950" w:rsidRPr="007501BE">
          <w:rPr>
            <w:rStyle w:val="Hipercze"/>
            <w:rFonts w:ascii="Arial" w:hAnsi="Arial" w:cs="Arial"/>
            <w:noProof/>
          </w:rPr>
          <w:t>https://www.lawinsider.com/clause/incapacity-or-death</w:t>
        </w:r>
      </w:hyperlink>
      <w:r w:rsidR="00274193" w:rsidRPr="007501BE">
        <w:rPr>
          <w:rFonts w:ascii="Arial" w:hAnsi="Arial" w:cs="Arial"/>
          <w:noProof/>
        </w:rPr>
        <w:t xml:space="preserve"> </w:t>
      </w:r>
    </w:p>
    <w:p w14:paraId="24569044" w14:textId="794953C1" w:rsidR="00176FEA" w:rsidRPr="007501BE" w:rsidRDefault="004D2950" w:rsidP="004D2950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Delay</w:t>
      </w:r>
      <w:r w:rsidR="00176FEA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:</w:t>
      </w:r>
    </w:p>
    <w:p w14:paraId="006BE5A1" w14:textId="5F9F1D40" w:rsidR="00176FEA" w:rsidRPr="007501BE" w:rsidRDefault="00562B11" w:rsidP="004D2950">
      <w:pPr>
        <w:pStyle w:val="TreA"/>
        <w:ind w:left="851"/>
        <w:rPr>
          <w:rFonts w:ascii="Arial" w:hAnsi="Arial" w:cs="Arial"/>
          <w:noProof/>
        </w:rPr>
      </w:pPr>
      <w:hyperlink r:id="rId15" w:history="1">
        <w:r w:rsidR="004D2950" w:rsidRPr="007501BE">
          <w:rPr>
            <w:rStyle w:val="Hipercze"/>
            <w:rFonts w:ascii="Arial" w:hAnsi="Arial" w:cs="Arial"/>
            <w:noProof/>
          </w:rPr>
          <w:t>https://www.lawinsider.com/clause/delay</w:t>
        </w:r>
      </w:hyperlink>
      <w:r w:rsidR="00274193" w:rsidRPr="007501BE">
        <w:rPr>
          <w:rFonts w:ascii="Arial" w:hAnsi="Arial" w:cs="Arial"/>
          <w:noProof/>
        </w:rPr>
        <w:t xml:space="preserve"> </w:t>
      </w:r>
    </w:p>
    <w:p w14:paraId="67752B73" w14:textId="350F5C22" w:rsidR="004D2950" w:rsidRPr="007501BE" w:rsidRDefault="004D2950" w:rsidP="004D2950">
      <w:pPr>
        <w:pStyle w:val="NormalnyWeb"/>
        <w:shd w:val="clear" w:color="auto" w:fill="FFFFFF"/>
        <w:rPr>
          <w:rFonts w:ascii="Arial" w:hAnsi="Arial" w:cs="Arial"/>
          <w:b/>
          <w:bCs/>
          <w:noProof/>
          <w:color w:val="000000"/>
        </w:rPr>
      </w:pPr>
      <w:r w:rsidRPr="007501BE">
        <w:rPr>
          <w:rFonts w:ascii="Arial" w:hAnsi="Arial" w:cs="Arial"/>
          <w:b/>
          <w:bCs/>
          <w:noProof/>
          <w:color w:val="000000"/>
        </w:rPr>
        <w:t>Ćwiczenie</w:t>
      </w:r>
    </w:p>
    <w:p w14:paraId="1510C853" w14:textId="77777777" w:rsidR="004D2950" w:rsidRPr="007501BE" w:rsidRDefault="00562B11" w:rsidP="004D2950">
      <w:pPr>
        <w:jc w:val="both"/>
        <w:rPr>
          <w:rFonts w:ascii="Arial" w:hAnsi="Arial" w:cs="Arial"/>
          <w:bCs/>
          <w:noProof/>
          <w:color w:val="000000" w:themeColor="text1"/>
          <w:shd w:val="clear" w:color="auto" w:fill="FFFFFF"/>
        </w:rPr>
      </w:pPr>
      <w:hyperlink r:id="rId16" w:history="1">
        <w:r w:rsidR="004D2950" w:rsidRPr="007501BE">
          <w:rPr>
            <w:rStyle w:val="Hipercze"/>
            <w:rFonts w:ascii="Arial" w:hAnsi="Arial" w:cs="Arial"/>
            <w:bCs/>
            <w:noProof/>
            <w:shd w:val="clear" w:color="auto" w:fill="FFFFFF"/>
          </w:rPr>
          <w:t>https://wordwall.net/pl/resource/32098797</w:t>
        </w:r>
      </w:hyperlink>
    </w:p>
    <w:p w14:paraId="3FE1E10F" w14:textId="77777777" w:rsidR="004D2950" w:rsidRPr="007501BE" w:rsidRDefault="004D2950" w:rsidP="004D2950">
      <w:pPr>
        <w:jc w:val="both"/>
        <w:rPr>
          <w:rFonts w:ascii="Arial" w:hAnsi="Arial" w:cs="Arial"/>
          <w:bCs/>
          <w:noProof/>
          <w:color w:val="000000" w:themeColor="text1"/>
          <w:shd w:val="clear" w:color="auto" w:fill="FFFFFF"/>
        </w:rPr>
      </w:pPr>
    </w:p>
    <w:p w14:paraId="763C9803" w14:textId="4AA11CF0" w:rsidR="004D2950" w:rsidRPr="007501BE" w:rsidRDefault="004D2950" w:rsidP="006A16D2">
      <w:pPr>
        <w:jc w:val="both"/>
        <w:rPr>
          <w:rFonts w:ascii="Arial" w:hAnsi="Arial" w:cs="Arial"/>
          <w:noProof/>
          <w:color w:val="000000"/>
          <w:shd w:val="clear" w:color="auto" w:fill="FFFFFF"/>
        </w:rPr>
      </w:pPr>
      <w:r w:rsidRPr="007501BE">
        <w:rPr>
          <w:rFonts w:ascii="Arial" w:hAnsi="Arial" w:cs="Arial"/>
          <w:noProof/>
          <w:color w:val="000000"/>
          <w:shd w:val="clear" w:color="auto" w:fill="FFFFFF"/>
        </w:rPr>
        <w:t xml:space="preserve">Pytanie 1: Pan Henryk, właściciel jednoosobowej działalności gospodarczej, podpisał kontrakt z czeską siecią handlową na dostawę części do ciągników. Niestety, w czasie prac budowlanych w sąsiednim budynku uszkodzono dach jego magazynu </w:t>
      </w:r>
      <w:r w:rsidR="006A16D2">
        <w:rPr>
          <w:rFonts w:ascii="Arial" w:hAnsi="Arial" w:cs="Arial"/>
          <w:noProof/>
          <w:color w:val="000000"/>
          <w:shd w:val="clear" w:color="auto" w:fill="FFFFFF"/>
        </w:rPr>
        <w:br/>
      </w:r>
      <w:r w:rsidRPr="007501BE">
        <w:rPr>
          <w:rFonts w:ascii="Arial" w:hAnsi="Arial" w:cs="Arial"/>
          <w:noProof/>
          <w:color w:val="000000"/>
          <w:shd w:val="clear" w:color="auto" w:fill="FFFFFF"/>
        </w:rPr>
        <w:t>i musiał na kilka dni zawiesić produkcję i opóźnić dostawy. Czy może powołać się na klauzulę siły wyższej?</w:t>
      </w:r>
    </w:p>
    <w:p w14:paraId="0DA097BD" w14:textId="77777777" w:rsidR="004D2950" w:rsidRPr="007501BE" w:rsidRDefault="004D2950" w:rsidP="006A16D2">
      <w:pPr>
        <w:jc w:val="both"/>
        <w:rPr>
          <w:rFonts w:ascii="Arial" w:hAnsi="Arial" w:cs="Arial"/>
          <w:bCs/>
          <w:noProof/>
          <w:color w:val="000000" w:themeColor="text1"/>
          <w:shd w:val="clear" w:color="auto" w:fill="FFFFFF"/>
        </w:rPr>
      </w:pPr>
    </w:p>
    <w:p w14:paraId="64E9EFD2" w14:textId="77777777" w:rsidR="004D2950" w:rsidRPr="007501BE" w:rsidRDefault="004D2950" w:rsidP="006A16D2">
      <w:pPr>
        <w:jc w:val="both"/>
        <w:rPr>
          <w:rFonts w:ascii="Arial" w:hAnsi="Arial" w:cs="Arial"/>
          <w:noProof/>
          <w:color w:val="000000"/>
          <w:shd w:val="clear" w:color="auto" w:fill="FFFFFF"/>
        </w:rPr>
      </w:pPr>
      <w:r w:rsidRPr="007501BE">
        <w:rPr>
          <w:rFonts w:ascii="Arial" w:hAnsi="Arial" w:cs="Arial"/>
          <w:bCs/>
          <w:noProof/>
          <w:color w:val="000000" w:themeColor="text1"/>
          <w:shd w:val="clear" w:color="auto" w:fill="FFFFFF"/>
        </w:rPr>
        <w:t xml:space="preserve">Pytanie 2: </w:t>
      </w:r>
      <w:r w:rsidRPr="007501BE">
        <w:rPr>
          <w:rFonts w:ascii="Arial" w:hAnsi="Arial" w:cs="Arial"/>
          <w:noProof/>
          <w:color w:val="000000"/>
          <w:shd w:val="clear" w:color="auto" w:fill="FFFFFF"/>
        </w:rPr>
        <w:t>Pani Marcelina, prezes spółki z ograniczoną odpowiedzialnością, która zatrudnia 12 pracowników dostarcza swoje wyroby do Kazachstanu. Powołując się na zapisy o sile wyższej i trudności spowodowane wojną, odbiorca wniósł o rozwiązanie umowy. Czy mógł to zrobić? </w:t>
      </w:r>
    </w:p>
    <w:p w14:paraId="7DA23409" w14:textId="77777777" w:rsidR="004D2950" w:rsidRPr="007501BE" w:rsidRDefault="004D2950" w:rsidP="006A16D2">
      <w:pPr>
        <w:jc w:val="both"/>
        <w:rPr>
          <w:noProof/>
        </w:rPr>
      </w:pPr>
    </w:p>
    <w:p w14:paraId="52B33AEC" w14:textId="77777777" w:rsidR="004D2950" w:rsidRPr="007501BE" w:rsidRDefault="004D2950" w:rsidP="006A16D2">
      <w:pPr>
        <w:jc w:val="both"/>
        <w:rPr>
          <w:noProof/>
        </w:rPr>
      </w:pPr>
      <w:r w:rsidRPr="007501BE">
        <w:rPr>
          <w:rFonts w:ascii="Arial" w:hAnsi="Arial" w:cs="Arial"/>
          <w:bCs/>
          <w:noProof/>
          <w:color w:val="000000" w:themeColor="text1"/>
          <w:shd w:val="clear" w:color="auto" w:fill="FFFFFF"/>
        </w:rPr>
        <w:t xml:space="preserve">Pytanie 3: </w:t>
      </w:r>
      <w:r w:rsidRPr="007501BE">
        <w:rPr>
          <w:rFonts w:ascii="Arial" w:hAnsi="Arial" w:cs="Arial"/>
          <w:noProof/>
          <w:color w:val="000000"/>
          <w:shd w:val="clear" w:color="auto" w:fill="FFFFFF"/>
        </w:rPr>
        <w:t>Państwo Grażyna i Sebastian są właścicielami spółki jawnej organizującej wyjazdy integracyjne do Sri Lanki. Właśnie dowiedzieli się o wybitnie niestabilnej sytuacji w tym kraju i chcą zwrócić wszystkie wpłacone przez uczestników zaliczki bez płacenia kar umownych. Czy przysługuje im takie prawo?</w:t>
      </w:r>
    </w:p>
    <w:p w14:paraId="1557E191" w14:textId="77777777" w:rsidR="004D2950" w:rsidRPr="007501BE" w:rsidRDefault="004D2950" w:rsidP="00A24447">
      <w:pPr>
        <w:pStyle w:val="TreA"/>
        <w:rPr>
          <w:rFonts w:ascii="Arial" w:hAnsi="Arial" w:cs="Arial"/>
          <w:noProof/>
        </w:rPr>
      </w:pPr>
    </w:p>
    <w:p w14:paraId="3C354EE2" w14:textId="77777777" w:rsidR="00E7380D" w:rsidRPr="007501BE" w:rsidRDefault="00E7380D" w:rsidP="00A24447">
      <w:pPr>
        <w:pStyle w:val="TreA"/>
        <w:rPr>
          <w:rFonts w:ascii="Arial" w:hAnsi="Arial" w:cs="Arial"/>
          <w:noProof/>
        </w:rPr>
      </w:pPr>
    </w:p>
    <w:p w14:paraId="162B5C36" w14:textId="3B11C1C3" w:rsidR="00E7380D" w:rsidRPr="007501BE" w:rsidRDefault="00E7380D" w:rsidP="00E7380D">
      <w:pPr>
        <w:pStyle w:val="Akapitzlist"/>
        <w:numPr>
          <w:ilvl w:val="0"/>
          <w:numId w:val="28"/>
        </w:numPr>
        <w:rPr>
          <w:rFonts w:ascii="Arial" w:hAnsi="Arial" w:cs="Arial"/>
          <w:b/>
          <w:bCs/>
          <w:noProof/>
          <w:color w:val="000000"/>
          <w:u w:color="000000"/>
          <w:lang w:val="pl-P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501BE">
        <w:rPr>
          <w:rFonts w:ascii="Arial" w:hAnsi="Arial" w:cs="Arial"/>
          <w:b/>
          <w:bCs/>
          <w:noProof/>
          <w:color w:val="000000"/>
          <w:u w:color="000000"/>
          <w:lang w:val="pl-PL"/>
          <w14:textOutline w14:w="12700" w14:cap="flat" w14:cmpd="sng" w14:algn="ctr">
            <w14:noFill/>
            <w14:prstDash w14:val="solid"/>
            <w14:miter w14:lim="400000"/>
          </w14:textOutline>
        </w:rPr>
        <w:t>Odpowiedzialność za produkt</w:t>
      </w:r>
    </w:p>
    <w:p w14:paraId="3E0E395A" w14:textId="4A03E75C" w:rsidR="00E7380D" w:rsidRPr="007501BE" w:rsidRDefault="00E7380D" w:rsidP="00E7380D">
      <w:pPr>
        <w:pStyle w:val="TreA"/>
        <w:ind w:left="720"/>
        <w:rPr>
          <w:rFonts w:ascii="Arial" w:hAnsi="Arial" w:cs="Arial"/>
          <w:noProof/>
        </w:rPr>
      </w:pPr>
    </w:p>
    <w:p w14:paraId="52E5C4C6" w14:textId="77777777" w:rsidR="00D05DE6" w:rsidRPr="007501BE" w:rsidRDefault="00D05DE6" w:rsidP="00D05DE6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/>
        <w:rPr>
          <w:rFonts w:ascii="Arial" w:hAnsi="Arial" w:cs="Arial"/>
          <w:noProof/>
          <w:color w:val="000000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Dyrektywa z dnia 25 lipca 1985 r. w sprawie zbliżenia przepisów ustawowych, wykonawczych i administracyjnych państw członkowskich dotyczących odpowiedzialności za produkty wadliwe:</w:t>
      </w:r>
    </w:p>
    <w:p w14:paraId="663067D7" w14:textId="356DDDE1" w:rsidR="00176FEA" w:rsidRPr="007501BE" w:rsidRDefault="00562B11" w:rsidP="00D05DE6">
      <w:pPr>
        <w:pStyle w:val="Akapitzlist"/>
        <w:shd w:val="clear" w:color="auto" w:fill="FFFFFF"/>
        <w:spacing w:line="276" w:lineRule="auto"/>
        <w:ind w:left="851"/>
        <w:rPr>
          <w:rFonts w:ascii="Arial" w:hAnsi="Arial" w:cs="Arial"/>
          <w:noProof/>
          <w:color w:val="000000"/>
          <w:lang w:val="pl-PL"/>
        </w:rPr>
      </w:pPr>
      <w:hyperlink r:id="rId17" w:history="1">
        <w:r w:rsidR="00274193" w:rsidRPr="007501BE">
          <w:rPr>
            <w:rStyle w:val="Hipercze"/>
            <w:rFonts w:ascii="Arial" w:hAnsi="Arial" w:cs="Arial"/>
            <w:noProof/>
            <w:lang w:val="pl-PL"/>
          </w:rPr>
          <w:t>https://eur-lex.europa.eu/legal-content/PL/TXT/PDF/?uri=CELEX:31985L0374&amp;from=PL</w:t>
        </w:r>
      </w:hyperlink>
      <w:r w:rsidR="00274193" w:rsidRPr="007501BE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17B2A6D4" w14:textId="2A795122" w:rsidR="00D05DE6" w:rsidRPr="007501BE" w:rsidRDefault="00D05DE6" w:rsidP="00D05DE6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/>
        <w:rPr>
          <w:rFonts w:ascii="Arial" w:hAnsi="Arial" w:cs="Arial"/>
          <w:noProof/>
          <w:color w:val="000000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Safety Gate: </w:t>
      </w:r>
    </w:p>
    <w:p w14:paraId="37881EAD" w14:textId="77777777" w:rsidR="00D05DE6" w:rsidRPr="007501BE" w:rsidRDefault="00562B11" w:rsidP="00D05DE6">
      <w:pPr>
        <w:pStyle w:val="Akapitzlist"/>
        <w:shd w:val="clear" w:color="auto" w:fill="FFFFFF"/>
        <w:spacing w:line="276" w:lineRule="auto"/>
        <w:ind w:left="851"/>
        <w:rPr>
          <w:rFonts w:ascii="Arial" w:hAnsi="Arial" w:cs="Arial"/>
          <w:noProof/>
          <w:color w:val="000000"/>
          <w:lang w:val="pl-PL"/>
        </w:rPr>
      </w:pPr>
      <w:hyperlink r:id="rId18" w:history="1">
        <w:r w:rsidR="00274193" w:rsidRPr="007501BE">
          <w:rPr>
            <w:rStyle w:val="Hipercze"/>
            <w:rFonts w:ascii="Arial" w:hAnsi="Arial" w:cs="Arial"/>
            <w:noProof/>
            <w:lang w:val="pl-PL"/>
          </w:rPr>
          <w:t>https://ec.europa.eu/safety-gate-alerts/screen/webReport</w:t>
        </w:r>
      </w:hyperlink>
      <w:r w:rsidR="00274193" w:rsidRPr="007501BE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3AE2E02A" w14:textId="3F90F808" w:rsidR="00176FEA" w:rsidRPr="007501BE" w:rsidRDefault="00D05DE6" w:rsidP="00D05DE6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rPr>
          <w:rFonts w:ascii="Arial" w:hAnsi="Arial" w:cs="Arial"/>
          <w:noProof/>
          <w:color w:val="000000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lastRenderedPageBreak/>
        <w:t>Jednostki przyjmujące zgłoszenia o wyrobach niebezpiecznych</w:t>
      </w:r>
      <w:r w:rsidR="00176FEA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:</w:t>
      </w:r>
      <w:r w:rsidR="00176FEA" w:rsidRPr="007501BE">
        <w:rPr>
          <w:rFonts w:ascii="Arial" w:hAnsi="Arial" w:cs="Arial"/>
          <w:b/>
          <w:noProof/>
          <w:color w:val="FF0000"/>
          <w:u w:val="single"/>
          <w:lang w:val="pl-PL"/>
        </w:rPr>
        <w:t xml:space="preserve"> </w:t>
      </w:r>
      <w:hyperlink r:id="rId19" w:history="1">
        <w:r w:rsidR="00274193" w:rsidRPr="007501BE">
          <w:rPr>
            <w:rStyle w:val="Hipercze"/>
            <w:rFonts w:ascii="Arial" w:hAnsi="Arial" w:cs="Arial"/>
            <w:noProof/>
            <w:lang w:val="pl-PL"/>
          </w:rPr>
          <w:t>https://ec.europa.eu/safety/consumers/consumers_safety_gate/menu/documents/Business_Gateway_contacts.pdf</w:t>
        </w:r>
      </w:hyperlink>
      <w:r w:rsidR="00274193" w:rsidRPr="007501BE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08054F38" w14:textId="68A99EC5" w:rsidR="009C3DFA" w:rsidRPr="007501BE" w:rsidRDefault="00D05DE6" w:rsidP="009C3DFA">
      <w:pPr>
        <w:pStyle w:val="NormalnyWeb"/>
        <w:numPr>
          <w:ilvl w:val="0"/>
          <w:numId w:val="28"/>
        </w:numPr>
        <w:shd w:val="clear" w:color="auto" w:fill="FFFFFF"/>
        <w:rPr>
          <w:rFonts w:ascii="Arial" w:hAnsi="Arial" w:cs="Arial"/>
          <w:b/>
          <w:bCs/>
          <w:noProof/>
          <w:color w:val="000000"/>
        </w:rPr>
      </w:pPr>
      <w:r w:rsidRPr="007501BE">
        <w:rPr>
          <w:rFonts w:ascii="Arial" w:hAnsi="Arial" w:cs="Arial"/>
          <w:b/>
          <w:bCs/>
          <w:noProof/>
          <w:color w:val="000000"/>
        </w:rPr>
        <w:t>O</w:t>
      </w:r>
      <w:r w:rsidR="009C3DFA" w:rsidRPr="007501BE">
        <w:rPr>
          <w:rFonts w:ascii="Arial" w:hAnsi="Arial" w:cs="Arial"/>
          <w:b/>
          <w:bCs/>
          <w:noProof/>
          <w:color w:val="000000"/>
        </w:rPr>
        <w:t>chrona własności intelektualnej</w:t>
      </w:r>
    </w:p>
    <w:p w14:paraId="40FE50E4" w14:textId="14A819BF" w:rsidR="00176FEA" w:rsidRPr="007501BE" w:rsidRDefault="00D05DE6" w:rsidP="00EC3E26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rPr>
          <w:rStyle w:val="Hipercze"/>
          <w:rFonts w:ascii="Arial" w:hAnsi="Arial" w:cs="Arial"/>
          <w:noProof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Zgłoszenie naruszenia praw własności i wniosek o wycofanie produktu z rynku UE:</w:t>
      </w:r>
      <w:r w:rsidR="00176FEA" w:rsidRPr="007501BE">
        <w:rPr>
          <w:rFonts w:ascii="Arial" w:hAnsi="Arial" w:cs="Arial"/>
          <w:noProof/>
          <w:color w:val="000000"/>
          <w:lang w:val="pl-PL"/>
        </w:rPr>
        <w:t xml:space="preserve"> </w:t>
      </w:r>
      <w:hyperlink r:id="rId20" w:history="1">
        <w:r w:rsidR="00176FEA" w:rsidRPr="007501BE">
          <w:rPr>
            <w:rStyle w:val="Hipercze"/>
            <w:rFonts w:ascii="Arial" w:hAnsi="Arial" w:cs="Arial"/>
            <w:noProof/>
            <w:lang w:val="pl-PL"/>
          </w:rPr>
          <w:t>https://ec.europa.eu/taxation_customs/customs-4/prohibitions-and-restrictions/counterfeit-piracy-and-other-ipr-violations/defend-your-rights_en</w:t>
        </w:r>
      </w:hyperlink>
    </w:p>
    <w:p w14:paraId="4EFC966C" w14:textId="77777777" w:rsidR="00D05DE6" w:rsidRPr="007501BE" w:rsidRDefault="00D05DE6" w:rsidP="00D05DE6">
      <w:pPr>
        <w:pStyle w:val="Akapitzlist"/>
        <w:shd w:val="clear" w:color="auto" w:fill="FFFFFF"/>
        <w:spacing w:line="276" w:lineRule="auto"/>
        <w:ind w:left="851"/>
        <w:rPr>
          <w:rStyle w:val="Hipercze"/>
          <w:rFonts w:ascii="Arial" w:hAnsi="Arial" w:cs="Arial"/>
          <w:noProof/>
          <w:lang w:val="pl-PL"/>
        </w:rPr>
      </w:pPr>
    </w:p>
    <w:p w14:paraId="28D60991" w14:textId="2D375EC7" w:rsidR="009C3DFA" w:rsidRPr="007501BE" w:rsidRDefault="00D05DE6" w:rsidP="009C3DF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b/>
          <w:bCs/>
          <w:noProof/>
          <w:color w:val="000000" w:themeColor="text1"/>
          <w:shd w:val="clear" w:color="auto" w:fill="FFFFFF"/>
          <w:lang w:val="pl-PL"/>
        </w:rPr>
        <w:t>L</w:t>
      </w:r>
      <w:r w:rsidR="009C3DFA" w:rsidRPr="007501BE">
        <w:rPr>
          <w:rFonts w:ascii="Arial" w:hAnsi="Arial" w:cs="Arial"/>
          <w:b/>
          <w:bCs/>
          <w:noProof/>
          <w:color w:val="000000" w:themeColor="text1"/>
          <w:shd w:val="clear" w:color="auto" w:fill="FFFFFF"/>
          <w:lang w:val="pl-PL"/>
        </w:rPr>
        <w:t>icencja i franczyza</w:t>
      </w:r>
    </w:p>
    <w:p w14:paraId="265C778F" w14:textId="77777777" w:rsidR="00D05DE6" w:rsidRPr="007501BE" w:rsidRDefault="00D05DE6" w:rsidP="00D05DE6">
      <w:pPr>
        <w:pStyle w:val="Akapitzlist"/>
        <w:jc w:val="both"/>
        <w:rPr>
          <w:rFonts w:ascii="Arial" w:hAnsi="Arial" w:cs="Arial"/>
          <w:b/>
          <w:bCs/>
          <w:noProof/>
          <w:color w:val="000000" w:themeColor="text1"/>
          <w:shd w:val="clear" w:color="auto" w:fill="FFFFFF"/>
          <w:lang w:val="pl-PL"/>
        </w:rPr>
      </w:pPr>
    </w:p>
    <w:p w14:paraId="57C5AC70" w14:textId="77777777" w:rsidR="00D05DE6" w:rsidRPr="007501BE" w:rsidRDefault="00D05DE6" w:rsidP="00D05DE6">
      <w:pPr>
        <w:pStyle w:val="Akapitzlist"/>
        <w:numPr>
          <w:ilvl w:val="0"/>
          <w:numId w:val="31"/>
        </w:numPr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Upoważnienie do korzystania z wynalazku- art. 66 Prawa własności przemysłowej:</w:t>
      </w:r>
    </w:p>
    <w:p w14:paraId="210B69E9" w14:textId="75E1CDFC" w:rsidR="00D05DE6" w:rsidRPr="007501BE" w:rsidRDefault="00562B11" w:rsidP="00D05DE6">
      <w:pPr>
        <w:pStyle w:val="Akapitzlist"/>
        <w:spacing w:line="276" w:lineRule="auto"/>
        <w:ind w:left="851"/>
        <w:jc w:val="both"/>
        <w:rPr>
          <w:rStyle w:val="Hipercze"/>
          <w:rFonts w:ascii="Arial" w:hAnsi="Arial" w:cs="Arial"/>
          <w:noProof/>
          <w:lang w:val="pl-PL"/>
        </w:rPr>
      </w:pPr>
      <w:hyperlink r:id="rId21" w:history="1">
        <w:r w:rsidR="00D05DE6" w:rsidRPr="007501BE">
          <w:rPr>
            <w:rStyle w:val="Hipercze"/>
            <w:rFonts w:ascii="Arial" w:hAnsi="Arial" w:cs="Arial"/>
            <w:noProof/>
            <w:lang w:val="pl-PL"/>
          </w:rPr>
          <w:t>https://lexlege.pl/prawo-wlasnosci-przemyslowej/art-66/</w:t>
        </w:r>
      </w:hyperlink>
      <w:r w:rsidR="00D05DE6" w:rsidRPr="007501BE">
        <w:rPr>
          <w:rStyle w:val="Hipercze"/>
          <w:rFonts w:ascii="Arial" w:hAnsi="Arial" w:cs="Arial"/>
          <w:noProof/>
          <w:lang w:val="pl-PL"/>
        </w:rPr>
        <w:t xml:space="preserve"> </w:t>
      </w:r>
    </w:p>
    <w:p w14:paraId="6D6B3009" w14:textId="17B2A334" w:rsidR="004D2950" w:rsidRPr="007501BE" w:rsidRDefault="004D2950" w:rsidP="004D2950">
      <w:pPr>
        <w:pStyle w:val="NormalnyWeb"/>
        <w:shd w:val="clear" w:color="auto" w:fill="FFFFFF"/>
        <w:ind w:left="360"/>
        <w:rPr>
          <w:rFonts w:ascii="Arial" w:hAnsi="Arial" w:cs="Arial"/>
          <w:b/>
          <w:bCs/>
          <w:noProof/>
          <w:color w:val="000000"/>
        </w:rPr>
      </w:pPr>
      <w:r w:rsidRPr="007501BE">
        <w:rPr>
          <w:rFonts w:ascii="Arial" w:hAnsi="Arial" w:cs="Arial"/>
          <w:b/>
          <w:bCs/>
          <w:noProof/>
          <w:color w:val="000000"/>
        </w:rPr>
        <w:t>Ćwiczenie</w:t>
      </w:r>
    </w:p>
    <w:p w14:paraId="460AFF3E" w14:textId="77777777" w:rsidR="00D05DE6" w:rsidRPr="007501BE" w:rsidRDefault="00D05DE6" w:rsidP="00D05DE6">
      <w:pPr>
        <w:pStyle w:val="NormalnyWeb"/>
        <w:shd w:val="clear" w:color="auto" w:fill="FFFFFF"/>
        <w:ind w:left="426"/>
        <w:rPr>
          <w:rFonts w:ascii="Arial" w:hAnsi="Arial" w:cs="Arial"/>
          <w:noProof/>
          <w:color w:val="000000"/>
        </w:rPr>
      </w:pPr>
      <w:r w:rsidRPr="007501BE">
        <w:rPr>
          <w:rFonts w:ascii="Arial" w:hAnsi="Arial" w:cs="Arial"/>
          <w:noProof/>
          <w:color w:val="000000"/>
        </w:rPr>
        <w:t>Należy zdecydować, czy podane firmy działają najczęściej na zasadzie franczyzy, czy licencji:</w:t>
      </w:r>
    </w:p>
    <w:p w14:paraId="441EB4F1" w14:textId="77777777" w:rsidR="004D2950" w:rsidRPr="007501BE" w:rsidRDefault="004D2950" w:rsidP="004D2950">
      <w:pPr>
        <w:pStyle w:val="Akapitzlist"/>
        <w:rPr>
          <w:noProof/>
          <w:lang w:val="pl-PL"/>
        </w:rPr>
      </w:pPr>
      <w:r w:rsidRPr="007501BE">
        <w:rPr>
          <w:noProof/>
          <w:lang w:val="pl-PL"/>
        </w:rPr>
        <w:fldChar w:fldCharType="begin"/>
      </w:r>
      <w:r w:rsidRPr="007501BE">
        <w:rPr>
          <w:noProof/>
          <w:lang w:val="pl-PL"/>
        </w:rPr>
        <w:instrText xml:space="preserve"> INCLUDEPICTURE "https://wordwall.net/resourceajax/qr?resourceType=activity&amp;id=32104931&amp;imagetype=png&amp;pixels=410" \* MERGEFORMATINET </w:instrText>
      </w:r>
      <w:r w:rsidRPr="007501BE">
        <w:rPr>
          <w:noProof/>
          <w:lang w:val="pl-PL"/>
        </w:rPr>
        <w:fldChar w:fldCharType="separate"/>
      </w:r>
      <w:r w:rsidRPr="007501BE">
        <w:rPr>
          <w:noProof/>
          <w:lang w:val="pl-PL"/>
        </w:rPr>
        <w:drawing>
          <wp:inline distT="0" distB="0" distL="0" distR="0" wp14:anchorId="5981454B" wp14:editId="5B2BCF56">
            <wp:extent cx="927463" cy="927463"/>
            <wp:effectExtent l="0" t="0" r="0" b="0"/>
            <wp:docPr id="1205559130" name="Picture 1" descr="https://wordwall.net/resourceajax/qr?resourceType=activity&amp;id=32104931&amp;imagetype=png&amp;pixels=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ordwall.net/resourceajax/qr?resourceType=activity&amp;id=32104931&amp;imagetype=png&amp;pixels=4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39" cy="93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01BE">
        <w:rPr>
          <w:noProof/>
          <w:lang w:val="pl-PL"/>
        </w:rPr>
        <w:fldChar w:fldCharType="end"/>
      </w:r>
    </w:p>
    <w:p w14:paraId="69105C23" w14:textId="12EDF18C" w:rsidR="004D2950" w:rsidRPr="007501BE" w:rsidRDefault="00562B11" w:rsidP="00D05DE6">
      <w:pPr>
        <w:pStyle w:val="Akapitzlist"/>
        <w:ind w:left="426"/>
        <w:rPr>
          <w:rFonts w:ascii="Arial" w:hAnsi="Arial" w:cs="Arial"/>
          <w:noProof/>
          <w:lang w:val="pl-PL"/>
        </w:rPr>
      </w:pPr>
      <w:hyperlink r:id="rId23" w:history="1">
        <w:r w:rsidR="004D2950" w:rsidRPr="007501BE">
          <w:rPr>
            <w:rStyle w:val="Hipercze"/>
            <w:rFonts w:ascii="Arial" w:hAnsi="Arial" w:cs="Arial"/>
            <w:noProof/>
            <w:lang w:val="pl-PL"/>
          </w:rPr>
          <w:t>https://wordwall.net/resource/32104931</w:t>
        </w:r>
      </w:hyperlink>
      <w:r w:rsidR="004D2950" w:rsidRPr="007501BE">
        <w:rPr>
          <w:rFonts w:ascii="Arial" w:hAnsi="Arial" w:cs="Arial"/>
          <w:noProof/>
          <w:lang w:val="pl-PL"/>
        </w:rPr>
        <w:t xml:space="preserve"> </w:t>
      </w:r>
    </w:p>
    <w:p w14:paraId="78BAAE92" w14:textId="77777777" w:rsidR="004D2950" w:rsidRPr="007501BE" w:rsidRDefault="004D2950" w:rsidP="00176FEA">
      <w:pPr>
        <w:pStyle w:val="NormalnyWeb"/>
        <w:shd w:val="clear" w:color="auto" w:fill="FFFFFF"/>
        <w:rPr>
          <w:rFonts w:ascii="Arial" w:hAnsi="Arial" w:cs="Arial"/>
          <w:noProof/>
          <w:color w:val="000000"/>
        </w:rPr>
      </w:pPr>
    </w:p>
    <w:p w14:paraId="7C6B598C" w14:textId="35B5596B" w:rsidR="00176FEA" w:rsidRPr="007501BE" w:rsidRDefault="00D05DE6" w:rsidP="009C3DFA">
      <w:pPr>
        <w:pStyle w:val="NormalnyWeb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b/>
          <w:bCs/>
          <w:noProof/>
          <w:color w:val="000000"/>
        </w:rPr>
      </w:pPr>
      <w:r w:rsidRPr="007501BE">
        <w:rPr>
          <w:rFonts w:ascii="Arial" w:hAnsi="Arial" w:cs="Arial"/>
          <w:b/>
          <w:bCs/>
          <w:noProof/>
          <w:color w:val="000000"/>
        </w:rPr>
        <w:lastRenderedPageBreak/>
        <w:t>Z</w:t>
      </w:r>
      <w:r w:rsidR="009C3DFA" w:rsidRPr="007501BE">
        <w:rPr>
          <w:rFonts w:ascii="Arial" w:hAnsi="Arial" w:cs="Arial"/>
          <w:b/>
          <w:bCs/>
          <w:noProof/>
          <w:color w:val="000000"/>
        </w:rPr>
        <w:t>akaz konkurencji</w:t>
      </w:r>
    </w:p>
    <w:p w14:paraId="746FA3DB" w14:textId="696F5DC8" w:rsidR="007501BE" w:rsidRPr="007501BE" w:rsidRDefault="0022784A" w:rsidP="00965149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Rozporządzenie</w:t>
      </w:r>
      <w:r w:rsidR="007501BE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Rady Ministrów</w:t>
      </w:r>
      <w:r w:rsidR="00F24F1D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w sprawie wyłączenia niektórych rodzajów porozumień wertykalnych spod zakazu porozumień ograniczających konkurencję</w:t>
      </w:r>
      <w:r w:rsidR="007501BE"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(Dz. U. 2011 nr 81 poz. 441):</w:t>
      </w:r>
    </w:p>
    <w:p w14:paraId="57D1C182" w14:textId="52B13CA0" w:rsidR="00176FEA" w:rsidRPr="007501BE" w:rsidRDefault="00562B11" w:rsidP="007501BE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4" w:history="1">
        <w:r w:rsidR="00274193" w:rsidRPr="007501BE">
          <w:rPr>
            <w:rStyle w:val="Hipercze"/>
            <w:rFonts w:ascii="Arial" w:hAnsi="Arial" w:cs="Arial"/>
            <w:noProof/>
            <w:lang w:val="pl-PL"/>
          </w:rPr>
          <w:t>https://isap.sejm.gov.pl/isap.nsf/DocDetails.xsp?id=WDU20110810441</w:t>
        </w:r>
      </w:hyperlink>
      <w:r w:rsidR="00274193" w:rsidRPr="007501BE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54317397" w14:textId="77777777" w:rsidR="007501BE" w:rsidRPr="007501BE" w:rsidRDefault="007501BE" w:rsidP="002D4CF4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7501BE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Przepisy UE dotyczące praktyk uzgodnionych i porozumień pomiędzy przedsiębiorstwami:</w:t>
      </w:r>
    </w:p>
    <w:p w14:paraId="1057C1D4" w14:textId="3729A87C" w:rsidR="00176FEA" w:rsidRPr="007501BE" w:rsidRDefault="00562B11" w:rsidP="007501BE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5" w:history="1">
        <w:r w:rsidR="00274193" w:rsidRPr="007501BE">
          <w:rPr>
            <w:rStyle w:val="Hipercze"/>
            <w:rFonts w:ascii="Arial" w:hAnsi="Arial" w:cs="Arial"/>
            <w:noProof/>
            <w:lang w:val="pl-PL"/>
          </w:rPr>
          <w:t>https://eur-lex.europa.eu/legal-content/PL/TXT/?uri=LEGISSUM:4348235</w:t>
        </w:r>
      </w:hyperlink>
      <w:r w:rsidR="00274193" w:rsidRPr="007501BE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640B1F4E" w14:textId="77777777" w:rsidR="006F6DCD" w:rsidRPr="006F6DCD" w:rsidRDefault="006F6DCD" w:rsidP="00112A28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Rozporządzenie Komisji (UE) nr 330/2010 z dnia 20 kwietnia 2010 r. w sprawie stosowania art. 101 ust. 3 Traktatu </w:t>
      </w: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br/>
        <w:t>o funkcjonowaniu unii europejskiej do kategorii porozumień wertykalnych i praktyk uzgodnionych:</w:t>
      </w:r>
    </w:p>
    <w:p w14:paraId="7583208C" w14:textId="0D7531FB" w:rsidR="00176FEA" w:rsidRPr="006F6DCD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6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https://eur-lex.europa.eu/legal-content/PL/ALL/?uri=CELEX%3A32010R0330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7A943886" w14:textId="6D52ECDB" w:rsidR="009C3DFA" w:rsidRPr="007501BE" w:rsidRDefault="00DC5877" w:rsidP="00DC5877">
      <w:pPr>
        <w:pStyle w:val="NormalnyWeb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b/>
          <w:bCs/>
          <w:noProof/>
          <w:color w:val="000000"/>
        </w:rPr>
      </w:pPr>
      <w:r w:rsidRPr="007501BE">
        <w:rPr>
          <w:rFonts w:ascii="Arial" w:hAnsi="Arial" w:cs="Arial"/>
          <w:b/>
          <w:bCs/>
          <w:noProof/>
          <w:color w:val="000000"/>
        </w:rPr>
        <w:t>W</w:t>
      </w:r>
      <w:r w:rsidR="009C3DFA" w:rsidRPr="007501BE">
        <w:rPr>
          <w:rFonts w:ascii="Arial" w:hAnsi="Arial" w:cs="Arial"/>
          <w:b/>
          <w:bCs/>
          <w:noProof/>
          <w:color w:val="000000"/>
        </w:rPr>
        <w:t>eryfikacja kontrahenta zagranicznego</w:t>
      </w:r>
    </w:p>
    <w:p w14:paraId="6FBFAC7E" w14:textId="77777777" w:rsidR="006F6DCD" w:rsidRPr="006F6DCD" w:rsidRDefault="006F6DCD" w:rsidP="00A9794C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Europejski Rejestr Działalności Gospodarczych: </w:t>
      </w:r>
    </w:p>
    <w:p w14:paraId="658AD0EA" w14:textId="543E2935" w:rsidR="00176FEA" w:rsidRPr="006F6DCD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7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https://e-justice.europa.eu/content_business_registers_in_member_states-106-pl.do?clang=pl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78DFF725" w14:textId="77777777" w:rsidR="006F6DCD" w:rsidRPr="006F6DCD" w:rsidRDefault="006F6DCD" w:rsidP="00E047CF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Baza podatników VAT w UE:</w:t>
      </w:r>
    </w:p>
    <w:p w14:paraId="3417827F" w14:textId="49B94881" w:rsidR="00176FEA" w:rsidRPr="007501BE" w:rsidRDefault="00562B11" w:rsidP="00D32C89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8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https://ec.europa.eu/taxation_customs/vies/?locale=pl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5B195B48" w14:textId="77777777" w:rsidR="006F6DCD" w:rsidRPr="006F6DCD" w:rsidRDefault="006F6DCD" w:rsidP="00A73BC7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Weryfikacja</w:t>
      </w:r>
      <w:r w:rsidR="00176FEA"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EORI:</w:t>
      </w:r>
    </w:p>
    <w:p w14:paraId="3FD451BA" w14:textId="06FAB5B3" w:rsidR="00176FEA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29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https://ec.europa.eu/taxation_customs/dds2/eos/eori_home.jsp?Screen=0&amp;Lang=pl&amp;parentfolder=.%2f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6ECA6C71" w14:textId="212DF99D" w:rsidR="00176FEA" w:rsidRPr="006F6DCD" w:rsidRDefault="00F31CBF" w:rsidP="007135CA">
      <w:pPr>
        <w:pStyle w:val="NormalnyWeb"/>
        <w:numPr>
          <w:ilvl w:val="0"/>
          <w:numId w:val="28"/>
        </w:numPr>
        <w:shd w:val="clear" w:color="auto" w:fill="FFFFFF"/>
        <w:jc w:val="both"/>
        <w:rPr>
          <w:rFonts w:ascii="Arial" w:hAnsi="Arial" w:cs="Arial"/>
          <w:noProof/>
          <w:color w:val="000000"/>
        </w:rPr>
      </w:pPr>
      <w:r w:rsidRPr="006F6DCD">
        <w:rPr>
          <w:rFonts w:ascii="Arial" w:hAnsi="Arial" w:cs="Arial"/>
          <w:b/>
          <w:bCs/>
          <w:noProof/>
          <w:color w:val="000000"/>
        </w:rPr>
        <w:t>Certyfikat koszerności i certyfikat Halal</w:t>
      </w:r>
    </w:p>
    <w:p w14:paraId="706FED8D" w14:textId="77777777" w:rsidR="006F6DCD" w:rsidRPr="006F6DCD" w:rsidRDefault="006F6DCD" w:rsidP="00C73F60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Gmina Wyznaniowa Żydowska w Warszawie:</w:t>
      </w:r>
    </w:p>
    <w:p w14:paraId="57C543AC" w14:textId="470D9DEA" w:rsidR="00176FEA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30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https://warszawa.jewish.org.pl/pl/kontakt/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</w:t>
      </w:r>
    </w:p>
    <w:p w14:paraId="0628F856" w14:textId="77777777" w:rsidR="00562B11" w:rsidRPr="006F6DCD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</w:p>
    <w:p w14:paraId="3D0A459D" w14:textId="77777777" w:rsidR="006F6DCD" w:rsidRPr="006F6DCD" w:rsidRDefault="006F6DCD" w:rsidP="0021736B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lastRenderedPageBreak/>
        <w:t>Informacje o certyfikacie koszerności:</w:t>
      </w:r>
    </w:p>
    <w:p w14:paraId="23866772" w14:textId="773FB3F1" w:rsidR="00176FEA" w:rsidRPr="007501BE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/>
          <w:lang w:val="pl-PL"/>
        </w:rPr>
      </w:pPr>
      <w:hyperlink r:id="rId31" w:history="1">
        <w:r w:rsidR="00274193" w:rsidRPr="006F6DCD">
          <w:rPr>
            <w:rStyle w:val="Hipercze"/>
            <w:rFonts w:ascii="Arial" w:hAnsi="Arial" w:cs="Arial"/>
            <w:noProof/>
            <w:lang w:val="pl-PL"/>
          </w:rPr>
          <w:t>https://polandkosher.pl</w:t>
        </w:r>
      </w:hyperlink>
      <w:r w:rsidR="00274193" w:rsidRPr="006F6DCD">
        <w:rPr>
          <w:rFonts w:ascii="Arial" w:hAnsi="Arial" w:cs="Arial"/>
          <w:noProof/>
          <w:color w:val="000000"/>
          <w:lang w:val="pl-PL"/>
        </w:rPr>
        <w:t xml:space="preserve">   </w:t>
      </w:r>
    </w:p>
    <w:p w14:paraId="7B45DDCD" w14:textId="51029D91" w:rsidR="00176FEA" w:rsidRDefault="006F6DCD" w:rsidP="006F6DCD">
      <w:pPr>
        <w:pStyle w:val="Akapitzlist"/>
        <w:numPr>
          <w:ilvl w:val="0"/>
          <w:numId w:val="31"/>
        </w:numPr>
        <w:shd w:val="clear" w:color="auto" w:fill="FFFFFF"/>
        <w:spacing w:line="276" w:lineRule="auto"/>
        <w:ind w:left="851" w:hanging="349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Muzułmański Związek Religijny </w:t>
      </w:r>
      <w:r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w</w:t>
      </w: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 xml:space="preserve"> R</w:t>
      </w:r>
      <w:r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P</w:t>
      </w:r>
      <w:r w:rsidRPr="006F6DCD"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  <w:t>:</w:t>
      </w:r>
    </w:p>
    <w:p w14:paraId="575D6D9E" w14:textId="0BA645A8" w:rsidR="00C247E7" w:rsidRPr="006F6DCD" w:rsidRDefault="00562B11" w:rsidP="006F6DCD">
      <w:pPr>
        <w:pStyle w:val="Akapitzlist"/>
        <w:shd w:val="clear" w:color="auto" w:fill="FFFFFF"/>
        <w:spacing w:line="276" w:lineRule="auto"/>
        <w:ind w:left="851"/>
        <w:jc w:val="both"/>
        <w:rPr>
          <w:rFonts w:ascii="Arial" w:hAnsi="Arial" w:cs="Arial"/>
          <w:noProof/>
          <w:color w:val="000000" w:themeColor="text1"/>
          <w:shd w:val="clear" w:color="auto" w:fill="FFFFFF"/>
          <w:lang w:val="pl-PL"/>
        </w:rPr>
      </w:pPr>
      <w:hyperlink r:id="rId32" w:history="1">
        <w:r w:rsidR="006F6DCD" w:rsidRPr="007F0FB5">
          <w:rPr>
            <w:rStyle w:val="Hipercze"/>
            <w:rFonts w:ascii="Arial" w:hAnsi="Arial" w:cs="Arial"/>
            <w:noProof/>
            <w:lang w:val="pl-PL"/>
          </w:rPr>
          <w:t>www.halalpoland.pl</w:t>
        </w:r>
      </w:hyperlink>
      <w:r w:rsidR="00274193" w:rsidRPr="006F6DCD">
        <w:rPr>
          <w:rFonts w:ascii="Arial" w:hAnsi="Arial" w:cs="Arial"/>
          <w:noProof/>
          <w:color w:val="000000"/>
        </w:rPr>
        <w:t xml:space="preserve"> </w:t>
      </w:r>
    </w:p>
    <w:p w14:paraId="6A46A0EC" w14:textId="656FFC87" w:rsidR="00BD774A" w:rsidRPr="006F6DCD" w:rsidRDefault="006F6DCD" w:rsidP="00176FEA">
      <w:pPr>
        <w:pStyle w:val="NormalnyWeb"/>
        <w:shd w:val="clear" w:color="auto" w:fill="FFFFFF"/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t>Ćwiczenie- podsumowanie materiału</w:t>
      </w:r>
    </w:p>
    <w:p w14:paraId="0BFFA259" w14:textId="54644D6B" w:rsidR="00BD774A" w:rsidRPr="007501BE" w:rsidRDefault="00562B11" w:rsidP="00176FEA">
      <w:pPr>
        <w:pStyle w:val="NormalnyWeb"/>
        <w:shd w:val="clear" w:color="auto" w:fill="FFFFFF"/>
        <w:rPr>
          <w:rFonts w:ascii="Arial" w:hAnsi="Arial" w:cs="Arial"/>
          <w:noProof/>
          <w:color w:val="000000"/>
        </w:rPr>
      </w:pPr>
      <w:hyperlink r:id="rId33" w:history="1">
        <w:r w:rsidR="006C23CF" w:rsidRPr="007501BE">
          <w:rPr>
            <w:rStyle w:val="Hipercze"/>
            <w:rFonts w:ascii="Arial" w:hAnsi="Arial" w:cs="Arial"/>
            <w:noProof/>
          </w:rPr>
          <w:t>https://wordwall.net/resource/32105183</w:t>
        </w:r>
      </w:hyperlink>
      <w:r w:rsidR="006C23CF" w:rsidRPr="007501BE">
        <w:rPr>
          <w:rFonts w:ascii="Arial" w:hAnsi="Arial" w:cs="Arial"/>
          <w:noProof/>
          <w:color w:val="000000"/>
        </w:rPr>
        <w:t xml:space="preserve"> </w:t>
      </w:r>
      <w:r w:rsidR="00BD774A" w:rsidRPr="007501BE">
        <w:rPr>
          <w:rFonts w:ascii="Arial" w:hAnsi="Arial" w:cs="Arial"/>
          <w:noProof/>
          <w:color w:val="000000"/>
        </w:rPr>
        <w:t xml:space="preserve"> </w:t>
      </w:r>
    </w:p>
    <w:p w14:paraId="3F4BC72D" w14:textId="6851418B" w:rsidR="00BD774A" w:rsidRPr="007501BE" w:rsidRDefault="00BD774A" w:rsidP="00BD774A">
      <w:pPr>
        <w:rPr>
          <w:noProof/>
        </w:rPr>
      </w:pPr>
      <w:r w:rsidRPr="007501BE">
        <w:rPr>
          <w:noProof/>
        </w:rPr>
        <w:fldChar w:fldCharType="begin"/>
      </w:r>
      <w:r w:rsidRPr="007501BE">
        <w:rPr>
          <w:noProof/>
        </w:rPr>
        <w:instrText xml:space="preserve"> INCLUDEPICTURE "https://wordwall.net/resourceajax/qr?resourceType=activity&amp;id=32105183&amp;imagetype=png&amp;pixels=410" \* MERGEFORMATINET </w:instrText>
      </w:r>
      <w:r w:rsidRPr="007501BE">
        <w:rPr>
          <w:noProof/>
        </w:rPr>
        <w:fldChar w:fldCharType="separate"/>
      </w:r>
      <w:r w:rsidRPr="007501BE">
        <w:rPr>
          <w:noProof/>
        </w:rPr>
        <w:drawing>
          <wp:inline distT="0" distB="0" distL="0" distR="0" wp14:anchorId="19CF430B" wp14:editId="6CCBA2A7">
            <wp:extent cx="1280160" cy="1280160"/>
            <wp:effectExtent l="0" t="0" r="2540" b="2540"/>
            <wp:docPr id="2" name="Picture 2" descr="https://wordwall.net/resourceajax/qr?resourceType=activity&amp;id=32105183&amp;imagetype=png&amp;pixels=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ordwall.net/resourceajax/qr?resourceType=activity&amp;id=32105183&amp;imagetype=png&amp;pixels=41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847" cy="1283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01BE">
        <w:rPr>
          <w:noProof/>
        </w:rPr>
        <w:fldChar w:fldCharType="end"/>
      </w:r>
    </w:p>
    <w:p w14:paraId="48875F99" w14:textId="6CFA6485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Należy odpowiedzieć na 7 pytań:</w:t>
      </w:r>
    </w:p>
    <w:p w14:paraId="5CEF21A0" w14:textId="77777777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</w:p>
    <w:p w14:paraId="18E8F0AC" w14:textId="28B45966" w:rsidR="00BD774A" w:rsidRPr="00D32C89" w:rsidRDefault="00BD774A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  <w:shd w:val="clear" w:color="auto" w:fill="FFFFFF"/>
        </w:rPr>
        <w:t>1. Które z poniższych nie jest związane z pojęciem siły wyższej?</w:t>
      </w:r>
    </w:p>
    <w:p w14:paraId="44A474D1" w14:textId="61E8103C" w:rsidR="004F1F59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a) powódź</w:t>
      </w:r>
    </w:p>
    <w:p w14:paraId="1EC3B640" w14:textId="00EB2893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b) zalanie magazynu spowodowane przez magazyniera</w:t>
      </w:r>
    </w:p>
    <w:p w14:paraId="588045E0" w14:textId="0117AB37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c) zmiana legislacji</w:t>
      </w:r>
    </w:p>
    <w:p w14:paraId="041008AB" w14:textId="29D659C6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d) działania wojenne</w:t>
      </w:r>
    </w:p>
    <w:p w14:paraId="784A3309" w14:textId="77777777" w:rsidR="00F31CBF" w:rsidRPr="00D32C89" w:rsidRDefault="00F31CBF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</w:p>
    <w:p w14:paraId="71318A96" w14:textId="77777777" w:rsidR="00BD774A" w:rsidRPr="00D32C89" w:rsidRDefault="00BD774A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t xml:space="preserve">2. </w:t>
      </w:r>
      <w:r w:rsidRPr="00D32C89">
        <w:rPr>
          <w:rFonts w:ascii="Arial" w:hAnsi="Arial" w:cs="Arial"/>
          <w:noProof/>
          <w:color w:val="000000"/>
          <w:shd w:val="clear" w:color="auto" w:fill="FFFFFF"/>
        </w:rPr>
        <w:t>Za produkt wprowadzony do obrotu odpowiada wyłącznie jego producent</w:t>
      </w:r>
    </w:p>
    <w:p w14:paraId="1F3ED1DB" w14:textId="6129318A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TAK</w:t>
      </w:r>
    </w:p>
    <w:p w14:paraId="045E531A" w14:textId="7372D4C1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NIE</w:t>
      </w:r>
    </w:p>
    <w:p w14:paraId="7FE70F0D" w14:textId="77777777" w:rsidR="00BD774A" w:rsidRPr="00D32C89" w:rsidRDefault="00BD774A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lastRenderedPageBreak/>
        <w:t xml:space="preserve">3. </w:t>
      </w:r>
      <w:r w:rsidRPr="00D32C89">
        <w:rPr>
          <w:rFonts w:ascii="Arial" w:hAnsi="Arial" w:cs="Arial"/>
          <w:noProof/>
          <w:color w:val="000000"/>
          <w:shd w:val="clear" w:color="auto" w:fill="FFFFFF"/>
        </w:rPr>
        <w:t>Jak długo chronione są prawa autorskie?</w:t>
      </w:r>
    </w:p>
    <w:p w14:paraId="1758F2DE" w14:textId="6306288F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a) 40 lat</w:t>
      </w:r>
    </w:p>
    <w:p w14:paraId="7E4EF3E6" w14:textId="4D41D428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b) 50 lat</w:t>
      </w:r>
    </w:p>
    <w:p w14:paraId="7174E2A9" w14:textId="21BADAEA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c) 70 lat</w:t>
      </w:r>
    </w:p>
    <w:p w14:paraId="186D11AF" w14:textId="71404E35" w:rsidR="00BD774A" w:rsidRPr="00D32C89" w:rsidRDefault="00BD774A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d) bezterminowo</w:t>
      </w:r>
    </w:p>
    <w:p w14:paraId="57EFF99B" w14:textId="77777777" w:rsidR="00F31CBF" w:rsidRPr="00D32C89" w:rsidRDefault="00F31CBF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</w:p>
    <w:p w14:paraId="44DD0D96" w14:textId="77777777" w:rsidR="00527A3D" w:rsidRPr="00D32C89" w:rsidRDefault="00AC1F61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t xml:space="preserve">4. </w:t>
      </w:r>
      <w:r w:rsidR="00527A3D" w:rsidRPr="00D32C89">
        <w:rPr>
          <w:rFonts w:ascii="Arial" w:hAnsi="Arial" w:cs="Arial"/>
          <w:noProof/>
          <w:color w:val="000000"/>
          <w:shd w:val="clear" w:color="auto" w:fill="FFFFFF"/>
        </w:rPr>
        <w:t>Franczyzobiorca nie ma praktycznie żadnego wpływu na zarządzaną przez siebie firmę.</w:t>
      </w:r>
    </w:p>
    <w:p w14:paraId="4B054C2D" w14:textId="1AE06BAF" w:rsidR="00AC1F61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TAK</w:t>
      </w:r>
    </w:p>
    <w:p w14:paraId="2E8FC635" w14:textId="39F181AE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NIE</w:t>
      </w:r>
    </w:p>
    <w:p w14:paraId="515C51D8" w14:textId="77777777" w:rsidR="00F31CBF" w:rsidRPr="00D32C89" w:rsidRDefault="00F31CBF" w:rsidP="00F31CBF">
      <w:pPr>
        <w:rPr>
          <w:rFonts w:ascii="Arial" w:hAnsi="Arial" w:cs="Arial"/>
          <w:noProof/>
          <w:color w:val="000000"/>
        </w:rPr>
      </w:pPr>
    </w:p>
    <w:p w14:paraId="27953776" w14:textId="2C479643" w:rsidR="00527A3D" w:rsidRPr="00D32C89" w:rsidRDefault="00527A3D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t xml:space="preserve">5. </w:t>
      </w:r>
      <w:r w:rsidRPr="00D32C89">
        <w:rPr>
          <w:rFonts w:ascii="Arial" w:hAnsi="Arial" w:cs="Arial"/>
          <w:noProof/>
          <w:color w:val="000000"/>
          <w:shd w:val="clear" w:color="auto" w:fill="FFFFFF"/>
        </w:rPr>
        <w:t>W Unii Europejskiej w niektórych przypadkach można podać cenę towaru na jego opakowaniu.</w:t>
      </w:r>
    </w:p>
    <w:p w14:paraId="7D713A75" w14:textId="77777777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TAK</w:t>
      </w:r>
    </w:p>
    <w:p w14:paraId="0108C615" w14:textId="5A94F326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NIE</w:t>
      </w:r>
    </w:p>
    <w:p w14:paraId="2A356CD4" w14:textId="77777777" w:rsidR="00F31CBF" w:rsidRPr="00D32C89" w:rsidRDefault="00F31CBF" w:rsidP="00F31CBF">
      <w:pPr>
        <w:rPr>
          <w:rFonts w:ascii="Arial" w:hAnsi="Arial" w:cs="Arial"/>
          <w:noProof/>
          <w:color w:val="000000"/>
        </w:rPr>
      </w:pPr>
    </w:p>
    <w:p w14:paraId="3034E44B" w14:textId="5DBCAC93" w:rsidR="00527A3D" w:rsidRPr="00D32C89" w:rsidRDefault="00527A3D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t xml:space="preserve">6. </w:t>
      </w:r>
      <w:r w:rsidRPr="00D32C89">
        <w:rPr>
          <w:rFonts w:ascii="Arial" w:hAnsi="Arial" w:cs="Arial"/>
          <w:noProof/>
          <w:color w:val="000000"/>
          <w:shd w:val="clear" w:color="auto" w:fill="FFFFFF"/>
        </w:rPr>
        <w:t>Certyfikaty Halal i koszerności są wydawane wyłącznie dla żywności.</w:t>
      </w:r>
    </w:p>
    <w:p w14:paraId="1F40EDEC" w14:textId="16AB3EF1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TAK</w:t>
      </w:r>
    </w:p>
    <w:p w14:paraId="429A55FA" w14:textId="48ED653F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NIE</w:t>
      </w:r>
    </w:p>
    <w:p w14:paraId="400991D0" w14:textId="77777777" w:rsidR="00F31CBF" w:rsidRPr="00D32C89" w:rsidRDefault="00F31CBF" w:rsidP="00F31CBF">
      <w:pPr>
        <w:rPr>
          <w:rFonts w:ascii="Arial" w:hAnsi="Arial" w:cs="Arial"/>
          <w:noProof/>
          <w:color w:val="000000"/>
        </w:rPr>
      </w:pPr>
    </w:p>
    <w:p w14:paraId="290CA3EA" w14:textId="5E9CCA4B" w:rsidR="00527A3D" w:rsidRPr="00D32C89" w:rsidRDefault="00527A3D" w:rsidP="00F31CBF">
      <w:pPr>
        <w:rPr>
          <w:noProof/>
        </w:rPr>
      </w:pPr>
      <w:r w:rsidRPr="00D32C89">
        <w:rPr>
          <w:rFonts w:ascii="Arial" w:hAnsi="Arial" w:cs="Arial"/>
          <w:noProof/>
          <w:color w:val="000000"/>
        </w:rPr>
        <w:t xml:space="preserve">7. </w:t>
      </w:r>
      <w:r w:rsidRPr="00D32C89">
        <w:rPr>
          <w:rFonts w:ascii="Arial" w:hAnsi="Arial" w:cs="Arial"/>
          <w:noProof/>
          <w:color w:val="000000"/>
          <w:shd w:val="clear" w:color="auto" w:fill="FFFFFF"/>
        </w:rPr>
        <w:t>Nie należy sprzedawać towaru firmie, która nie ma strony internetowej.</w:t>
      </w:r>
    </w:p>
    <w:p w14:paraId="565201CB" w14:textId="7FC1560D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TAK</w:t>
      </w:r>
    </w:p>
    <w:p w14:paraId="370F2DEE" w14:textId="21633A03" w:rsidR="00527A3D" w:rsidRPr="00D32C89" w:rsidRDefault="00527A3D" w:rsidP="00F31CB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color w:val="000000"/>
        </w:rPr>
      </w:pPr>
      <w:r w:rsidRPr="00D32C89">
        <w:rPr>
          <w:rFonts w:ascii="Arial" w:hAnsi="Arial" w:cs="Arial"/>
          <w:noProof/>
          <w:color w:val="000000"/>
        </w:rPr>
        <w:t>NIE</w:t>
      </w:r>
    </w:p>
    <w:p w14:paraId="466F7BD5" w14:textId="2235AC99" w:rsidR="006C23CF" w:rsidRPr="007501BE" w:rsidRDefault="006C23C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noProof/>
          <w:color w:val="000000"/>
          <w:u w:val="single"/>
        </w:rPr>
      </w:pPr>
      <w:r w:rsidRPr="007501BE">
        <w:rPr>
          <w:rFonts w:ascii="Arial" w:hAnsi="Arial" w:cs="Arial"/>
          <w:noProof/>
          <w:color w:val="000000"/>
          <w:u w:val="single"/>
        </w:rPr>
        <w:br w:type="page"/>
      </w:r>
    </w:p>
    <w:p w14:paraId="7450B6FF" w14:textId="463DD2CD" w:rsidR="00C26415" w:rsidRPr="007501BE" w:rsidRDefault="00C26415" w:rsidP="00C26415">
      <w:pPr>
        <w:pStyle w:val="NormalnyWeb"/>
        <w:shd w:val="clear" w:color="auto" w:fill="FFFFFF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lastRenderedPageBreak/>
        <w:t>ZASTRZEŻENIE</w:t>
      </w:r>
    </w:p>
    <w:p w14:paraId="31AD1E8B" w14:textId="77777777" w:rsidR="007501BE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Polska Agencja Inwestycji i Handlu S.A. (PAIH) udostępnia powyższy materiał nieodpłatnie jako efekty projektu „Mój biznes za granicą - model wsparcia instytucjonalnego MŚP w obszarze umiędzynarodowienia oferty firm i rozpoczęcia działalności na rynkach międzynarodowych” w ramach Programu Operacyjnego </w:t>
      </w:r>
    </w:p>
    <w:p w14:paraId="07F3E066" w14:textId="77777777" w:rsidR="00D32C89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>Wiedza Edukacja Rozwój 2014-2020; Oś priorytetowa: IV. Innowacje społeczne i współpraca ponadnarodowa; Działanie 4.3 Współpraca ponadnarodowa.</w:t>
      </w:r>
    </w:p>
    <w:p w14:paraId="49D655DF" w14:textId="3168438A" w:rsidR="00C26415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>Niniejszy materiał jest elementem programu edukacyjnego skierowanego do przedsiębiorców planujących rozpocząć ekspansję zagraniczną, w tym tych niemających w pełni sprecyzowanego potencjału eksportowego.</w:t>
      </w:r>
    </w:p>
    <w:p w14:paraId="7923D91E" w14:textId="16B250F8" w:rsidR="00C26415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Należy zauważyć, iż stanowi on jedynie ramy merytoryczne zagadnień uznanych za kluczowe w kontekście przygotowania do prowadzenia działalności eksportowej i korzystanie z niego, szczególnie w przypadku realizacji szkoleń, wymaga każdorazowej weryfikacji i aktualizacji treści przez eksperta prowadzącego poszczególne moduły szkoleniowe oraz ewentualnego dostosowania do branży/specyfiki firm stanowiących potencjalnych odbiorców szkolenia. Zgodnie z rekomendacją PAIH, ekspertem prowadzącym szkolenie powinien być praktyk specjalizujący się w danym zakresie tematycznym. </w:t>
      </w:r>
    </w:p>
    <w:p w14:paraId="6F4D3A8C" w14:textId="7795E2FB" w:rsidR="00C26415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PAIH nie ponosi odpowiedzialności z tytułu jakiejkolwiek szkody bezpośredniej lub pośredniej jakiegokolwiek rodzaju, w tym szkody za utratę zysków, wynikłej z całkowitego lub częściowego wykorzystania informacji udostępnionych przez PAIH w niniejszym materiale. W związku z tym, każdy odbiorca tych informacji powinien sprawdzić przydatność i poprawność wyżej wymienionych informacji zgodnie z ich przeznaczeniem i korzystać z tych informacji na własną odpowiedzialność. PAIH oraz jej pracownicy nie ponoszą w żadnym wypadku odpowiedzialności za jakąkolwiek decyzję lub działanie podjęte w oparciu o wyżej wymienione informacje, ani za jakiekolwiek konsekwencje wynikające z decyzji podjętych w oparciu o te informacje. </w:t>
      </w:r>
    </w:p>
    <w:p w14:paraId="00CC075F" w14:textId="1A2F2BD1" w:rsidR="00C26415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Udostępnione w wersji elektronicznej publikacje dostępne na stronach internetowych PAIH (m.in. </w:t>
      </w:r>
      <w:hyperlink r:id="rId35" w:history="1">
        <w:r w:rsidR="00A90C34" w:rsidRPr="007501BE">
          <w:rPr>
            <w:rStyle w:val="Hipercze"/>
            <w:rFonts w:ascii="Arial" w:hAnsi="Arial" w:cs="Arial"/>
            <w:noProof/>
            <w:sz w:val="22"/>
            <w:szCs w:val="22"/>
          </w:rPr>
          <w:t>https://www.paih.gov.pl/moj_biznes_za_granica</w:t>
        </w:r>
      </w:hyperlink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) mogą być wykorzystywane tylko w celach edukacyjnych. W przypadku korzystania z materiału w celu realizacji szkoleń, należy uwzględnić w informacji o szkoleniu, że jest ono efektem projektu „Mój biznes za granicą”. </w:t>
      </w:r>
    </w:p>
    <w:p w14:paraId="5AAF7BFD" w14:textId="3BBBAB86" w:rsidR="00C26415" w:rsidRPr="007501BE" w:rsidRDefault="00C26415" w:rsidP="00D32C89">
      <w:pPr>
        <w:pStyle w:val="NormalnyWeb"/>
        <w:shd w:val="clear" w:color="auto" w:fill="FFFFFF"/>
        <w:spacing w:before="80" w:beforeAutospacing="0" w:after="80" w:afterAutospacing="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7501BE">
        <w:rPr>
          <w:rFonts w:ascii="Arial" w:hAnsi="Arial" w:cs="Arial"/>
          <w:noProof/>
          <w:color w:val="000000"/>
          <w:sz w:val="22"/>
          <w:szCs w:val="22"/>
        </w:rPr>
        <w:t xml:space="preserve">Utrwalenie (sporządzenie egzemplarza, w celu jego publikacji), zwielokrotnienie, wprowadzenie do obrotu, wypożyczenie lub udostępnienie zwielokrotnionych egzemplarzy jest niedozwolone bez podpisania stosownej umowy udzielenia </w:t>
      </w:r>
      <w:r w:rsidR="003740BA" w:rsidRPr="007501BE">
        <w:rPr>
          <w:rFonts w:ascii="Arial" w:hAnsi="Arial" w:cs="Arial"/>
          <w:noProof/>
          <w:color w:val="000000"/>
          <w:sz w:val="22"/>
          <w:szCs w:val="22"/>
        </w:rPr>
        <w:t>sub</w:t>
      </w:r>
      <w:r w:rsidRPr="007501BE">
        <w:rPr>
          <w:rFonts w:ascii="Arial" w:hAnsi="Arial" w:cs="Arial"/>
          <w:noProof/>
          <w:color w:val="000000"/>
          <w:sz w:val="22"/>
          <w:szCs w:val="22"/>
        </w:rPr>
        <w:t>licencji przez PAIH.</w:t>
      </w:r>
    </w:p>
    <w:sectPr w:rsidR="00C26415" w:rsidRPr="007501BE">
      <w:headerReference w:type="default" r:id="rId36"/>
      <w:pgSz w:w="16840" w:h="11900" w:orient="landscape"/>
      <w:pgMar w:top="1440" w:right="1440" w:bottom="1440" w:left="1440" w:header="216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D8BB1" w14:textId="77777777" w:rsidR="007D0204" w:rsidRDefault="007D0204">
      <w:r>
        <w:separator/>
      </w:r>
    </w:p>
  </w:endnote>
  <w:endnote w:type="continuationSeparator" w:id="0">
    <w:p w14:paraId="003F58CB" w14:textId="77777777" w:rsidR="007D0204" w:rsidRDefault="007D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31DB0" w14:textId="77777777" w:rsidR="007D0204" w:rsidRDefault="007D0204">
      <w:r>
        <w:separator/>
      </w:r>
    </w:p>
  </w:footnote>
  <w:footnote w:type="continuationSeparator" w:id="0">
    <w:p w14:paraId="66AA1CFE" w14:textId="77777777" w:rsidR="007D0204" w:rsidRDefault="007D0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6FA2" w14:textId="7560CA82" w:rsidR="00AF0A5E" w:rsidRPr="0064366F" w:rsidRDefault="0064366F" w:rsidP="0064366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45D75D" wp14:editId="5187087D">
          <wp:simplePos x="0" y="0"/>
          <wp:positionH relativeFrom="column">
            <wp:posOffset>-957761</wp:posOffset>
          </wp:positionH>
          <wp:positionV relativeFrom="paragraph">
            <wp:posOffset>-1376045</wp:posOffset>
          </wp:positionV>
          <wp:extent cx="10781212" cy="7624189"/>
          <wp:effectExtent l="0" t="0" r="1270" b="0"/>
          <wp:wrapNone/>
          <wp:docPr id="845410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410873" name="Obraz 845410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1212" cy="76241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5pt;height:10.9pt;visibility:visible;mso-wrap-style:square" o:bullet="t">
        <v:imagedata r:id="rId1" o:title=""/>
      </v:shape>
    </w:pict>
  </w:numPicBullet>
  <w:abstractNum w:abstractNumId="0" w15:restartNumberingAfterBreak="0">
    <w:nsid w:val="0013102E"/>
    <w:multiLevelType w:val="hybridMultilevel"/>
    <w:tmpl w:val="BA0CFBF2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A71AD"/>
    <w:multiLevelType w:val="hybridMultilevel"/>
    <w:tmpl w:val="B5343FA2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0EC"/>
    <w:multiLevelType w:val="hybridMultilevel"/>
    <w:tmpl w:val="86EA2458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2357"/>
    <w:multiLevelType w:val="hybridMultilevel"/>
    <w:tmpl w:val="8546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6CF0"/>
    <w:multiLevelType w:val="hybridMultilevel"/>
    <w:tmpl w:val="86A04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40BC6"/>
    <w:multiLevelType w:val="hybridMultilevel"/>
    <w:tmpl w:val="DAA6ACC8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719C"/>
    <w:multiLevelType w:val="hybridMultilevel"/>
    <w:tmpl w:val="06B8321C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4009C2"/>
    <w:multiLevelType w:val="hybridMultilevel"/>
    <w:tmpl w:val="11C2B50A"/>
    <w:lvl w:ilvl="0" w:tplc="F676A1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529D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23D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62B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7642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BE3C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687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34C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F6AF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54E8"/>
    <w:multiLevelType w:val="hybridMultilevel"/>
    <w:tmpl w:val="229C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33948"/>
    <w:multiLevelType w:val="hybridMultilevel"/>
    <w:tmpl w:val="80DE3696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506E6"/>
    <w:multiLevelType w:val="hybridMultilevel"/>
    <w:tmpl w:val="99A86B50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F44E3"/>
    <w:multiLevelType w:val="hybridMultilevel"/>
    <w:tmpl w:val="03B0C04C"/>
    <w:lvl w:ilvl="0" w:tplc="BEEA873C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3B2234E6"/>
    <w:multiLevelType w:val="hybridMultilevel"/>
    <w:tmpl w:val="1BFCF680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5104F"/>
    <w:multiLevelType w:val="hybridMultilevel"/>
    <w:tmpl w:val="989E8F98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D71C7"/>
    <w:multiLevelType w:val="hybridMultilevel"/>
    <w:tmpl w:val="39EA1056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D3F68"/>
    <w:multiLevelType w:val="hybridMultilevel"/>
    <w:tmpl w:val="6EAE8A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479A1"/>
    <w:multiLevelType w:val="hybridMultilevel"/>
    <w:tmpl w:val="B3009778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D058E"/>
    <w:multiLevelType w:val="hybridMultilevel"/>
    <w:tmpl w:val="7FCC55BC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278B"/>
    <w:multiLevelType w:val="hybridMultilevel"/>
    <w:tmpl w:val="983CC7DC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86489"/>
    <w:multiLevelType w:val="hybridMultilevel"/>
    <w:tmpl w:val="541C0A9E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C466E"/>
    <w:multiLevelType w:val="hybridMultilevel"/>
    <w:tmpl w:val="558E8C92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119D3"/>
    <w:multiLevelType w:val="hybridMultilevel"/>
    <w:tmpl w:val="CA826218"/>
    <w:lvl w:ilvl="0" w:tplc="F676A14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54B447A"/>
    <w:multiLevelType w:val="hybridMultilevel"/>
    <w:tmpl w:val="6FD84CC6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67924"/>
    <w:multiLevelType w:val="hybridMultilevel"/>
    <w:tmpl w:val="542C77E4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924BA"/>
    <w:multiLevelType w:val="hybridMultilevel"/>
    <w:tmpl w:val="73FE681A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4C0DD8"/>
    <w:multiLevelType w:val="hybridMultilevel"/>
    <w:tmpl w:val="85768A4A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E0BFB"/>
    <w:multiLevelType w:val="hybridMultilevel"/>
    <w:tmpl w:val="BADABA52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906FF"/>
    <w:multiLevelType w:val="hybridMultilevel"/>
    <w:tmpl w:val="4922FF2A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11036"/>
    <w:multiLevelType w:val="hybridMultilevel"/>
    <w:tmpl w:val="19C29A24"/>
    <w:lvl w:ilvl="0" w:tplc="D26054D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269FB"/>
    <w:multiLevelType w:val="hybridMultilevel"/>
    <w:tmpl w:val="649AF3F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79C557BE"/>
    <w:multiLevelType w:val="hybridMultilevel"/>
    <w:tmpl w:val="568A61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EC94B8B"/>
    <w:multiLevelType w:val="hybridMultilevel"/>
    <w:tmpl w:val="5DAA9DA6"/>
    <w:lvl w:ilvl="0" w:tplc="7D8E19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190631">
    <w:abstractNumId w:val="17"/>
  </w:num>
  <w:num w:numId="2" w16cid:durableId="628049836">
    <w:abstractNumId w:val="20"/>
  </w:num>
  <w:num w:numId="3" w16cid:durableId="120149545">
    <w:abstractNumId w:val="18"/>
  </w:num>
  <w:num w:numId="4" w16cid:durableId="848443880">
    <w:abstractNumId w:val="12"/>
  </w:num>
  <w:num w:numId="5" w16cid:durableId="1447962208">
    <w:abstractNumId w:val="25"/>
  </w:num>
  <w:num w:numId="6" w16cid:durableId="44958066">
    <w:abstractNumId w:val="1"/>
  </w:num>
  <w:num w:numId="7" w16cid:durableId="1932002437">
    <w:abstractNumId w:val="14"/>
  </w:num>
  <w:num w:numId="8" w16cid:durableId="2120374188">
    <w:abstractNumId w:val="27"/>
  </w:num>
  <w:num w:numId="9" w16cid:durableId="769546851">
    <w:abstractNumId w:val="10"/>
  </w:num>
  <w:num w:numId="10" w16cid:durableId="1549565061">
    <w:abstractNumId w:val="9"/>
  </w:num>
  <w:num w:numId="11" w16cid:durableId="801268285">
    <w:abstractNumId w:val="16"/>
  </w:num>
  <w:num w:numId="12" w16cid:durableId="1972635770">
    <w:abstractNumId w:val="2"/>
  </w:num>
  <w:num w:numId="13" w16cid:durableId="1060832975">
    <w:abstractNumId w:val="19"/>
  </w:num>
  <w:num w:numId="14" w16cid:durableId="931086214">
    <w:abstractNumId w:val="22"/>
  </w:num>
  <w:num w:numId="15" w16cid:durableId="2022119383">
    <w:abstractNumId w:val="24"/>
  </w:num>
  <w:num w:numId="16" w16cid:durableId="1701315077">
    <w:abstractNumId w:val="13"/>
  </w:num>
  <w:num w:numId="17" w16cid:durableId="715547368">
    <w:abstractNumId w:val="5"/>
  </w:num>
  <w:num w:numId="18" w16cid:durableId="539821283">
    <w:abstractNumId w:val="28"/>
  </w:num>
  <w:num w:numId="19" w16cid:durableId="887686372">
    <w:abstractNumId w:val="0"/>
  </w:num>
  <w:num w:numId="20" w16cid:durableId="2135324488">
    <w:abstractNumId w:val="23"/>
  </w:num>
  <w:num w:numId="21" w16cid:durableId="805389185">
    <w:abstractNumId w:val="26"/>
  </w:num>
  <w:num w:numId="22" w16cid:durableId="661933054">
    <w:abstractNumId w:val="7"/>
  </w:num>
  <w:num w:numId="23" w16cid:durableId="120269185">
    <w:abstractNumId w:val="21"/>
  </w:num>
  <w:num w:numId="24" w16cid:durableId="1853686129">
    <w:abstractNumId w:val="30"/>
  </w:num>
  <w:num w:numId="25" w16cid:durableId="743796663">
    <w:abstractNumId w:val="6"/>
  </w:num>
  <w:num w:numId="26" w16cid:durableId="938758694">
    <w:abstractNumId w:val="4"/>
  </w:num>
  <w:num w:numId="27" w16cid:durableId="1170487974">
    <w:abstractNumId w:val="3"/>
  </w:num>
  <w:num w:numId="28" w16cid:durableId="126440367">
    <w:abstractNumId w:val="31"/>
  </w:num>
  <w:num w:numId="29" w16cid:durableId="1370492171">
    <w:abstractNumId w:val="8"/>
  </w:num>
  <w:num w:numId="30" w16cid:durableId="1959069644">
    <w:abstractNumId w:val="11"/>
  </w:num>
  <w:num w:numId="31" w16cid:durableId="537933034">
    <w:abstractNumId w:val="29"/>
  </w:num>
  <w:num w:numId="32" w16cid:durableId="7299665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5E"/>
    <w:rsid w:val="00115324"/>
    <w:rsid w:val="00162254"/>
    <w:rsid w:val="00176FEA"/>
    <w:rsid w:val="0022784A"/>
    <w:rsid w:val="00274193"/>
    <w:rsid w:val="002C06CA"/>
    <w:rsid w:val="003740BA"/>
    <w:rsid w:val="00407E1F"/>
    <w:rsid w:val="004D2950"/>
    <w:rsid w:val="004F1F59"/>
    <w:rsid w:val="00527A3D"/>
    <w:rsid w:val="00562B11"/>
    <w:rsid w:val="00632208"/>
    <w:rsid w:val="0064366F"/>
    <w:rsid w:val="006A16D2"/>
    <w:rsid w:val="006A1767"/>
    <w:rsid w:val="006C23CF"/>
    <w:rsid w:val="006F6DCD"/>
    <w:rsid w:val="007501BE"/>
    <w:rsid w:val="007D0204"/>
    <w:rsid w:val="00840E4A"/>
    <w:rsid w:val="008561AB"/>
    <w:rsid w:val="008941C8"/>
    <w:rsid w:val="00995782"/>
    <w:rsid w:val="009C3DFA"/>
    <w:rsid w:val="00A24447"/>
    <w:rsid w:val="00A47F1A"/>
    <w:rsid w:val="00A90C34"/>
    <w:rsid w:val="00AC1F61"/>
    <w:rsid w:val="00AF0A5E"/>
    <w:rsid w:val="00BA7C77"/>
    <w:rsid w:val="00BD774A"/>
    <w:rsid w:val="00BF1EFF"/>
    <w:rsid w:val="00C247E7"/>
    <w:rsid w:val="00C26415"/>
    <w:rsid w:val="00D05DE6"/>
    <w:rsid w:val="00D32C89"/>
    <w:rsid w:val="00DC5877"/>
    <w:rsid w:val="00DC6FB5"/>
    <w:rsid w:val="00E7380D"/>
    <w:rsid w:val="00ED3CF3"/>
    <w:rsid w:val="00F24F1D"/>
    <w:rsid w:val="00F31CBF"/>
    <w:rsid w:val="00F6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D21EC"/>
  <w15:docId w15:val="{EF3CD849-8678-1449-BD89-B20AD615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1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gwek2">
    <w:name w:val="heading 2"/>
    <w:basedOn w:val="Normalny"/>
    <w:link w:val="Nagwek2Znak"/>
    <w:uiPriority w:val="9"/>
    <w:qFormat/>
    <w:rsid w:val="00F24F1D"/>
    <w:pPr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74193"/>
    <w:rPr>
      <w:color w:val="0070C0"/>
      <w:u w:val="single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nyWeb">
    <w:name w:val="Normal (Web)"/>
    <w:basedOn w:val="Normalny"/>
    <w:uiPriority w:val="99"/>
    <w:unhideWhenUsed/>
    <w:rsid w:val="00176FEA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176FEA"/>
    <w:rPr>
      <w:i/>
      <w:iCs/>
    </w:rPr>
  </w:style>
  <w:style w:type="paragraph" w:styleId="Akapitzlist">
    <w:name w:val="List Paragraph"/>
    <w:basedOn w:val="Normalny"/>
    <w:uiPriority w:val="34"/>
    <w:qFormat/>
    <w:rsid w:val="00176FEA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eastAsia="Arial Unicode MS"/>
      <w:bdr w:val="nil"/>
      <w:lang w:val="en-US"/>
    </w:rPr>
  </w:style>
  <w:style w:type="table" w:styleId="Tabela-Siatka">
    <w:name w:val="Table Grid"/>
    <w:basedOn w:val="Standardowy"/>
    <w:uiPriority w:val="39"/>
    <w:rsid w:val="006A17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unhideWhenUsed/>
    <w:rsid w:val="008941C8"/>
    <w:rPr>
      <w:color w:val="00B0F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7F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F36"/>
    <w:rPr>
      <w:rFonts w:eastAsia="Times New Roman"/>
      <w:sz w:val="24"/>
      <w:szCs w:val="24"/>
      <w:bdr w:val="none" w:sz="0" w:space="0" w:color="auto"/>
    </w:rPr>
  </w:style>
  <w:style w:type="paragraph" w:styleId="Stopka">
    <w:name w:val="footer"/>
    <w:basedOn w:val="Normalny"/>
    <w:link w:val="StopkaZnak"/>
    <w:uiPriority w:val="99"/>
    <w:unhideWhenUsed/>
    <w:rsid w:val="00F67F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F36"/>
    <w:rPr>
      <w:rFonts w:eastAsia="Times New Roman"/>
      <w:sz w:val="24"/>
      <w:szCs w:val="24"/>
      <w:bdr w:val="none" w:sz="0" w:space="0" w:color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19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D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DFA"/>
    <w:rPr>
      <w:rFonts w:eastAsia="Times New Roman"/>
      <w:bdr w:val="none" w:sz="0" w:space="0" w:color="auto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DFA"/>
    <w:rPr>
      <w:rFonts w:eastAsia="Times New Roman"/>
      <w:b/>
      <w:bCs/>
      <w:bdr w:val="none" w:sz="0" w:space="0" w:color="auto"/>
    </w:rPr>
  </w:style>
  <w:style w:type="character" w:customStyle="1" w:styleId="Nagwek2Znak">
    <w:name w:val="Nagłówek 2 Znak"/>
    <w:basedOn w:val="Domylnaczcionkaakapitu"/>
    <w:link w:val="Nagwek2"/>
    <w:uiPriority w:val="9"/>
    <w:rsid w:val="00F24F1D"/>
    <w:rPr>
      <w:rFonts w:eastAsia="Times New Roman"/>
      <w:b/>
      <w:bCs/>
      <w:sz w:val="36"/>
      <w:szCs w:val="36"/>
      <w:bdr w:val="none" w:sz="0" w:space="0" w:color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awinsider.com/clause/supervening-illegality" TargetMode="External"/><Relationship Id="rId18" Type="http://schemas.openxmlformats.org/officeDocument/2006/relationships/hyperlink" Target="https://ec.europa.eu/safety-gate-alerts/screen/webReport" TargetMode="External"/><Relationship Id="rId26" Type="http://schemas.openxmlformats.org/officeDocument/2006/relationships/hyperlink" Target="https://eur-lex.europa.eu/legal-content/PL/ALL/?uri=CELEX%3A32010R0330" TargetMode="External"/><Relationship Id="rId21" Type="http://schemas.openxmlformats.org/officeDocument/2006/relationships/hyperlink" Target="https://lexlege.pl/prawo-wlasnosci-przemyslowej/art-66/" TargetMode="External"/><Relationship Id="rId34" Type="http://schemas.openxmlformats.org/officeDocument/2006/relationships/image" Target="media/image4.png"/><Relationship Id="rId7" Type="http://schemas.openxmlformats.org/officeDocument/2006/relationships/image" Target="media/image2.png"/><Relationship Id="rId12" Type="http://schemas.openxmlformats.org/officeDocument/2006/relationships/hyperlink" Target="https://www.lawinsider.com/clause/destruction-of-subject-matter" TargetMode="External"/><Relationship Id="rId17" Type="http://schemas.openxmlformats.org/officeDocument/2006/relationships/hyperlink" Target="https://eur-lex.europa.eu/legal-content/PL/TXT/PDF/?uri=CELEX:31985L0374&amp;from=PL" TargetMode="External"/><Relationship Id="rId25" Type="http://schemas.openxmlformats.org/officeDocument/2006/relationships/hyperlink" Target="https://eur-lex.europa.eu/legal-content/PL/TXT/?uri=LEGISSUM:4348235" TargetMode="External"/><Relationship Id="rId33" Type="http://schemas.openxmlformats.org/officeDocument/2006/relationships/hyperlink" Target="https://wordwall.net/resource/32105183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ordwall.net/pl/resource/32098797" TargetMode="External"/><Relationship Id="rId20" Type="http://schemas.openxmlformats.org/officeDocument/2006/relationships/hyperlink" Target="https://ec.europa.eu/taxation_customs/customs-4/prohibitions-and-restrictions/counterfeit-piracy-and-other-ipr-violations/defend-your-rights_en" TargetMode="External"/><Relationship Id="rId29" Type="http://schemas.openxmlformats.org/officeDocument/2006/relationships/hyperlink" Target="https://ec.europa.eu/taxation_customs/dds2/eos/eori_home.jsp?Screen=0&amp;Lang=pl&amp;parentfolder=.%2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xisnexis.com.au/__data/assets/pdf_file/0017/322127/Contract-Doctrine-of-Frustration-and-Force-Majeu_Pippa-Maessen.pdf" TargetMode="External"/><Relationship Id="rId24" Type="http://schemas.openxmlformats.org/officeDocument/2006/relationships/hyperlink" Target="https://isap.sejm.gov.pl/isap.nsf/DocDetails.xsp?id=WDU20110810441" TargetMode="External"/><Relationship Id="rId32" Type="http://schemas.openxmlformats.org/officeDocument/2006/relationships/hyperlink" Target="http://www.halalpoland.pl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lawinsider.com/clause/delay" TargetMode="External"/><Relationship Id="rId23" Type="http://schemas.openxmlformats.org/officeDocument/2006/relationships/hyperlink" Target="https://wordwall.net/resource/32104931" TargetMode="External"/><Relationship Id="rId28" Type="http://schemas.openxmlformats.org/officeDocument/2006/relationships/hyperlink" Target="https://ec.europa.eu/taxation_customs/vies/?locale=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sip.lex.pl/akty-prawne/dzu-dziennik-ustaw/kodeks-cywilny-16785996/art-471" TargetMode="External"/><Relationship Id="rId19" Type="http://schemas.openxmlformats.org/officeDocument/2006/relationships/hyperlink" Target="https://ec.europa.eu/safety/consumers/consumers_safety_gate/menu/documents/Business_Gateway_contacts.pdf" TargetMode="External"/><Relationship Id="rId31" Type="http://schemas.openxmlformats.org/officeDocument/2006/relationships/hyperlink" Target="https://polandkosher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c.eu/en/about-us" TargetMode="External"/><Relationship Id="rId14" Type="http://schemas.openxmlformats.org/officeDocument/2006/relationships/hyperlink" Target="https://www.lawinsider.com/clause/incapacity-or-death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e-justice.europa.eu/content_business_registers_in_member_states-106-pl.do?clang=pl" TargetMode="External"/><Relationship Id="rId30" Type="http://schemas.openxmlformats.org/officeDocument/2006/relationships/hyperlink" Target="https://warszawa.jewish.org.pl/pl/kontakt/" TargetMode="External"/><Relationship Id="rId35" Type="http://schemas.openxmlformats.org/officeDocument/2006/relationships/hyperlink" Target="https://www.paih.gov.pl/moj_biznes_za_granica" TargetMode="External"/><Relationship Id="rId8" Type="http://schemas.openxmlformats.org/officeDocument/2006/relationships/hyperlink" Target="https://sip.lex.pl/akty-prawne/dzu-dziennik-ustaw/kodeks-cywilny-16785996/art-353-1" TargetMode="Externa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1587</Words>
  <Characters>9528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Badziak</dc:creator>
  <cp:lastModifiedBy>Adam Kułanowski</cp:lastModifiedBy>
  <cp:revision>24</cp:revision>
  <dcterms:created xsi:type="dcterms:W3CDTF">2024-01-11T14:14:00Z</dcterms:created>
  <dcterms:modified xsi:type="dcterms:W3CDTF">2024-01-25T12:45:00Z</dcterms:modified>
</cp:coreProperties>
</file>